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66A" w:rsidRDefault="005F266A">
      <w:pPr>
        <w:spacing w:line="594" w:lineRule="exact"/>
        <w:jc w:val="center"/>
        <w:rPr>
          <w:rFonts w:ascii="方正小标宋简体" w:eastAsia="方正小标宋简体" w:hAnsi="Calibri"/>
          <w:sz w:val="36"/>
          <w:szCs w:val="36"/>
        </w:rPr>
      </w:pPr>
    </w:p>
    <w:p w:rsidR="005F266A" w:rsidRDefault="00D768AD">
      <w:pPr>
        <w:spacing w:beforeLines="50" w:before="156" w:afterLines="50" w:after="156"/>
        <w:jc w:val="center"/>
        <w:rPr>
          <w:rFonts w:ascii="黑体" w:eastAsia="黑体"/>
          <w:sz w:val="44"/>
        </w:rPr>
      </w:pPr>
      <w:r>
        <w:rPr>
          <w:rFonts w:ascii="黑体" w:eastAsia="黑体" w:hint="eastAsia"/>
          <w:sz w:val="44"/>
        </w:rPr>
        <w:t>国家计量技术规范</w:t>
      </w:r>
    </w:p>
    <w:p w:rsidR="005F266A" w:rsidRDefault="00D768AD">
      <w:pPr>
        <w:spacing w:beforeLines="50" w:before="156" w:afterLines="50" w:after="156"/>
        <w:jc w:val="center"/>
        <w:rPr>
          <w:rFonts w:ascii="黑体" w:eastAsia="黑体"/>
          <w:sz w:val="52"/>
          <w:szCs w:val="52"/>
        </w:rPr>
      </w:pPr>
      <w:r>
        <w:rPr>
          <w:rFonts w:ascii="黑体" w:eastAsia="黑体" w:hint="eastAsia"/>
          <w:sz w:val="52"/>
          <w:szCs w:val="52"/>
          <w:u w:val="single"/>
        </w:rPr>
        <w:t>航空工件几何参数测量结果的</w:t>
      </w:r>
      <w:r>
        <w:rPr>
          <w:rFonts w:ascii="黑体" w:eastAsia="黑体" w:hint="eastAsia"/>
          <w:sz w:val="52"/>
          <w:szCs w:val="52"/>
          <w:u w:val="single"/>
        </w:rPr>
        <w:br/>
      </w:r>
      <w:r>
        <w:rPr>
          <w:rFonts w:ascii="黑体" w:eastAsia="黑体" w:hint="eastAsia"/>
          <w:sz w:val="52"/>
          <w:szCs w:val="52"/>
          <w:u w:val="single"/>
        </w:rPr>
        <w:t>符合性判定规则</w:t>
      </w:r>
    </w:p>
    <w:p w:rsidR="005F266A" w:rsidRDefault="005F266A">
      <w:pPr>
        <w:widowControl/>
        <w:spacing w:beforeLines="50" w:before="156" w:afterLines="50" w:after="156"/>
        <w:jc w:val="center"/>
        <w:rPr>
          <w:rFonts w:ascii="黑体" w:eastAsia="黑体" w:hAnsi="黑体" w:cs="黑体"/>
          <w:sz w:val="72"/>
          <w:szCs w:val="72"/>
        </w:rPr>
      </w:pPr>
    </w:p>
    <w:p w:rsidR="005F266A" w:rsidRDefault="005F266A">
      <w:pPr>
        <w:widowControl/>
        <w:spacing w:beforeLines="50" w:before="156" w:afterLines="50" w:after="156"/>
        <w:jc w:val="center"/>
        <w:rPr>
          <w:rFonts w:ascii="黑体" w:eastAsia="黑体" w:hAnsi="黑体" w:cs="黑体"/>
          <w:sz w:val="72"/>
          <w:szCs w:val="72"/>
        </w:rPr>
      </w:pPr>
    </w:p>
    <w:p w:rsidR="005F266A" w:rsidRDefault="00D768AD">
      <w:pPr>
        <w:widowControl/>
        <w:spacing w:beforeLines="50" w:before="156" w:afterLines="50" w:after="156"/>
        <w:jc w:val="center"/>
        <w:rPr>
          <w:rFonts w:ascii="黑体" w:eastAsia="黑体" w:hAnsi="黑体" w:cs="黑体"/>
          <w:sz w:val="72"/>
          <w:szCs w:val="72"/>
        </w:rPr>
      </w:pPr>
      <w:r>
        <w:rPr>
          <w:rFonts w:ascii="黑体" w:eastAsia="黑体" w:hAnsi="黑体" w:cs="黑体" w:hint="eastAsia"/>
          <w:sz w:val="84"/>
          <w:szCs w:val="84"/>
        </w:rPr>
        <w:t>编</w:t>
      </w:r>
      <w:r>
        <w:rPr>
          <w:rFonts w:ascii="黑体" w:eastAsia="黑体" w:hAnsi="黑体" w:cs="黑体" w:hint="eastAsia"/>
          <w:sz w:val="84"/>
          <w:szCs w:val="84"/>
        </w:rPr>
        <w:t xml:space="preserve"> </w:t>
      </w:r>
      <w:r>
        <w:rPr>
          <w:rFonts w:ascii="黑体" w:eastAsia="黑体" w:hAnsi="黑体" w:cs="黑体" w:hint="eastAsia"/>
          <w:sz w:val="84"/>
          <w:szCs w:val="84"/>
        </w:rPr>
        <w:t>制</w:t>
      </w:r>
      <w:r>
        <w:rPr>
          <w:rFonts w:ascii="黑体" w:eastAsia="黑体" w:hAnsi="黑体" w:cs="黑体" w:hint="eastAsia"/>
          <w:sz w:val="84"/>
          <w:szCs w:val="84"/>
        </w:rPr>
        <w:t xml:space="preserve"> </w:t>
      </w:r>
      <w:r>
        <w:rPr>
          <w:rFonts w:ascii="黑体" w:eastAsia="黑体" w:hAnsi="黑体" w:cs="黑体" w:hint="eastAsia"/>
          <w:sz w:val="84"/>
          <w:szCs w:val="84"/>
        </w:rPr>
        <w:t>说</w:t>
      </w:r>
      <w:r>
        <w:rPr>
          <w:rFonts w:ascii="黑体" w:eastAsia="黑体" w:hAnsi="黑体" w:cs="黑体" w:hint="eastAsia"/>
          <w:sz w:val="84"/>
          <w:szCs w:val="84"/>
        </w:rPr>
        <w:t xml:space="preserve"> </w:t>
      </w:r>
      <w:r>
        <w:rPr>
          <w:rFonts w:ascii="黑体" w:eastAsia="黑体" w:hAnsi="黑体" w:cs="黑体" w:hint="eastAsia"/>
          <w:sz w:val="84"/>
          <w:szCs w:val="84"/>
        </w:rPr>
        <w:t>明</w:t>
      </w:r>
    </w:p>
    <w:p w:rsidR="005F266A" w:rsidRDefault="00D768AD">
      <w:pPr>
        <w:spacing w:beforeLines="50" w:before="156" w:afterLines="50" w:after="156"/>
        <w:jc w:val="center"/>
        <w:rPr>
          <w:rFonts w:ascii="黑体" w:eastAsia="黑体" w:hAnsi="黑体" w:cs="黑体"/>
          <w:sz w:val="44"/>
          <w:szCs w:val="44"/>
        </w:rPr>
      </w:pPr>
      <w:r>
        <w:rPr>
          <w:rFonts w:ascii="黑体" w:eastAsia="黑体" w:hAnsi="黑体" w:cs="黑体" w:hint="eastAsia"/>
          <w:sz w:val="44"/>
          <w:szCs w:val="44"/>
        </w:rPr>
        <w:t>（</w:t>
      </w:r>
      <w:r>
        <w:rPr>
          <w:rFonts w:ascii="黑体" w:eastAsia="黑体" w:hAnsi="黑体" w:cs="黑体" w:hint="eastAsia"/>
          <w:sz w:val="44"/>
          <w:szCs w:val="44"/>
        </w:rPr>
        <w:t>征求意见稿</w:t>
      </w:r>
      <w:r>
        <w:rPr>
          <w:rFonts w:ascii="黑体" w:eastAsia="黑体" w:hAnsi="黑体" w:cs="黑体" w:hint="eastAsia"/>
          <w:sz w:val="44"/>
          <w:szCs w:val="44"/>
        </w:rPr>
        <w:t>）</w:t>
      </w:r>
    </w:p>
    <w:p w:rsidR="005F266A" w:rsidRDefault="005F266A">
      <w:pPr>
        <w:jc w:val="center"/>
        <w:rPr>
          <w:rFonts w:ascii="黑体" w:eastAsia="黑体"/>
          <w:sz w:val="44"/>
        </w:rPr>
      </w:pPr>
    </w:p>
    <w:p w:rsidR="005F266A" w:rsidRDefault="005F266A">
      <w:pPr>
        <w:rPr>
          <w:rFonts w:ascii="黑体" w:eastAsia="黑体"/>
          <w:sz w:val="44"/>
        </w:rPr>
      </w:pPr>
    </w:p>
    <w:p w:rsidR="005F266A" w:rsidRDefault="005F266A">
      <w:pPr>
        <w:rPr>
          <w:rFonts w:ascii="黑体" w:eastAsia="黑体"/>
          <w:sz w:val="44"/>
        </w:rPr>
      </w:pPr>
    </w:p>
    <w:p w:rsidR="005F266A" w:rsidRDefault="005F266A">
      <w:pPr>
        <w:spacing w:line="594" w:lineRule="exact"/>
        <w:jc w:val="center"/>
        <w:rPr>
          <w:rFonts w:ascii="方正小标宋简体" w:eastAsia="方正小标宋简体" w:hAnsi="Calibri"/>
          <w:sz w:val="36"/>
          <w:szCs w:val="36"/>
        </w:rPr>
      </w:pPr>
    </w:p>
    <w:p w:rsidR="005F266A" w:rsidRDefault="005F266A">
      <w:pPr>
        <w:spacing w:line="594" w:lineRule="exact"/>
        <w:jc w:val="center"/>
        <w:rPr>
          <w:rFonts w:ascii="方正小标宋简体" w:eastAsia="方正小标宋简体" w:hAnsi="Calibri"/>
          <w:sz w:val="36"/>
          <w:szCs w:val="36"/>
        </w:rPr>
      </w:pPr>
    </w:p>
    <w:p w:rsidR="005F266A" w:rsidRDefault="005F266A">
      <w:pPr>
        <w:spacing w:line="594" w:lineRule="exact"/>
        <w:jc w:val="center"/>
        <w:rPr>
          <w:rFonts w:ascii="方正小标宋简体" w:eastAsia="方正小标宋简体" w:hAnsi="Calibri"/>
          <w:sz w:val="32"/>
          <w:szCs w:val="32"/>
        </w:rPr>
      </w:pPr>
    </w:p>
    <w:p w:rsidR="005F266A" w:rsidRDefault="00D768AD">
      <w:pPr>
        <w:spacing w:beforeLines="50" w:before="156" w:afterLines="50" w:after="156"/>
        <w:jc w:val="center"/>
        <w:rPr>
          <w:rFonts w:ascii="黑体" w:eastAsia="黑体"/>
          <w:sz w:val="44"/>
        </w:rPr>
      </w:pPr>
      <w:r>
        <w:rPr>
          <w:rFonts w:ascii="黑体" w:eastAsia="黑体" w:hint="eastAsia"/>
          <w:sz w:val="44"/>
        </w:rPr>
        <w:t>规范起草组</w:t>
      </w:r>
    </w:p>
    <w:p w:rsidR="005F266A" w:rsidRDefault="00D768AD">
      <w:pPr>
        <w:spacing w:beforeLines="50" w:before="156" w:afterLines="50" w:after="156"/>
        <w:jc w:val="center"/>
        <w:rPr>
          <w:rFonts w:ascii="黑体" w:eastAsia="黑体"/>
          <w:sz w:val="44"/>
        </w:rPr>
      </w:pPr>
      <w:r>
        <w:rPr>
          <w:rFonts w:ascii="黑体" w:eastAsia="黑体" w:hint="eastAsia"/>
          <w:sz w:val="44"/>
        </w:rPr>
        <w:t>2024</w:t>
      </w:r>
      <w:r>
        <w:rPr>
          <w:rFonts w:ascii="黑体" w:eastAsia="黑体" w:hint="eastAsia"/>
          <w:sz w:val="44"/>
        </w:rPr>
        <w:t>年</w:t>
      </w:r>
      <w:r>
        <w:rPr>
          <w:rFonts w:ascii="黑体" w:eastAsia="黑体" w:hint="eastAsia"/>
          <w:sz w:val="44"/>
        </w:rPr>
        <w:t>12</w:t>
      </w:r>
      <w:r>
        <w:rPr>
          <w:rFonts w:ascii="黑体" w:eastAsia="黑体" w:hint="eastAsia"/>
          <w:sz w:val="44"/>
        </w:rPr>
        <w:t>月</w:t>
      </w:r>
      <w:r>
        <w:rPr>
          <w:rFonts w:ascii="黑体" w:eastAsia="黑体" w:hint="eastAsia"/>
          <w:sz w:val="44"/>
        </w:rPr>
        <w:t>25</w:t>
      </w:r>
      <w:r>
        <w:rPr>
          <w:rFonts w:ascii="黑体" w:eastAsia="黑体" w:hint="eastAsia"/>
          <w:sz w:val="44"/>
        </w:rPr>
        <w:t>日</w:t>
      </w:r>
    </w:p>
    <w:p w:rsidR="005F266A" w:rsidRDefault="005F266A">
      <w:pPr>
        <w:spacing w:beforeLines="50" w:before="156" w:afterLines="50" w:after="156"/>
        <w:jc w:val="center"/>
        <w:rPr>
          <w:rFonts w:ascii="黑体" w:eastAsia="黑体"/>
          <w:sz w:val="44"/>
        </w:rPr>
      </w:pPr>
    </w:p>
    <w:p w:rsidR="005F266A" w:rsidRDefault="005F266A">
      <w:pPr>
        <w:pStyle w:val="1"/>
        <w:spacing w:before="120" w:after="120" w:line="240" w:lineRule="auto"/>
        <w:rPr>
          <w:rFonts w:ascii="黑体" w:eastAsia="黑体" w:hAnsi="黑体" w:cs="黑体"/>
          <w:sz w:val="32"/>
          <w:szCs w:val="32"/>
        </w:rPr>
        <w:sectPr w:rsidR="005F266A">
          <w:footerReference w:type="default" r:id="rId8"/>
          <w:pgSz w:w="11906" w:h="16838"/>
          <w:pgMar w:top="1440" w:right="1797" w:bottom="1440" w:left="1797" w:header="851" w:footer="992" w:gutter="0"/>
          <w:cols w:space="425"/>
          <w:docGrid w:type="linesAndChars" w:linePitch="312"/>
        </w:sectPr>
      </w:pPr>
    </w:p>
    <w:p w:rsidR="005F266A" w:rsidRDefault="00D768AD">
      <w:pPr>
        <w:pStyle w:val="1"/>
        <w:spacing w:before="120" w:after="120" w:line="240" w:lineRule="auto"/>
        <w:rPr>
          <w:rFonts w:ascii="黑体" w:eastAsia="黑体" w:hAnsi="黑体" w:cs="黑体"/>
          <w:sz w:val="32"/>
          <w:szCs w:val="32"/>
        </w:rPr>
      </w:pPr>
      <w:r>
        <w:rPr>
          <w:rFonts w:ascii="黑体" w:eastAsia="黑体" w:hAnsi="黑体" w:cs="黑体" w:hint="eastAsia"/>
          <w:sz w:val="32"/>
          <w:szCs w:val="32"/>
        </w:rPr>
        <w:lastRenderedPageBreak/>
        <w:t xml:space="preserve">1 </w:t>
      </w:r>
      <w:r>
        <w:rPr>
          <w:rFonts w:ascii="黑体" w:eastAsia="黑体" w:hAnsi="黑体" w:cs="黑体" w:hint="eastAsia"/>
          <w:sz w:val="32"/>
          <w:szCs w:val="32"/>
        </w:rPr>
        <w:t>工作简况</w:t>
      </w:r>
    </w:p>
    <w:p w:rsidR="005F266A" w:rsidRDefault="00D768AD">
      <w:pPr>
        <w:pStyle w:val="3"/>
        <w:spacing w:before="120" w:after="120" w:line="240" w:lineRule="auto"/>
        <w:rPr>
          <w:rFonts w:ascii="黑体" w:eastAsia="黑体" w:hAnsi="黑体" w:cs="黑体"/>
          <w:sz w:val="28"/>
          <w:szCs w:val="28"/>
        </w:rPr>
      </w:pPr>
      <w:r>
        <w:rPr>
          <w:rFonts w:ascii="黑体" w:eastAsia="黑体" w:hAnsi="黑体" w:cs="黑体" w:hint="eastAsia"/>
          <w:sz w:val="28"/>
          <w:szCs w:val="28"/>
        </w:rPr>
        <w:t xml:space="preserve">1.1 </w:t>
      </w:r>
      <w:r>
        <w:rPr>
          <w:rFonts w:ascii="黑体" w:eastAsia="黑体" w:hAnsi="黑体" w:cs="黑体" w:hint="eastAsia"/>
          <w:sz w:val="28"/>
          <w:szCs w:val="28"/>
        </w:rPr>
        <w:t>任务来源</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根据《市场监管总局办公厅关于印发</w:t>
      </w:r>
      <w:r>
        <w:rPr>
          <w:rFonts w:asciiTheme="minorEastAsia" w:eastAsiaTheme="minorEastAsia" w:hAnsiTheme="minorEastAsia" w:hint="eastAsia"/>
          <w:sz w:val="24"/>
        </w:rPr>
        <w:t>2024</w:t>
      </w:r>
      <w:r>
        <w:rPr>
          <w:rFonts w:asciiTheme="minorEastAsia" w:eastAsiaTheme="minorEastAsia" w:hAnsiTheme="minorEastAsia" w:hint="eastAsia"/>
          <w:sz w:val="24"/>
        </w:rPr>
        <w:t>年国家计量技术规范制定、修订及宣贯计划的通知》，《航空工件几何参数测量结果的符合性判定规则》国家计量技术规范（计划编号：</w:t>
      </w:r>
      <w:r>
        <w:rPr>
          <w:rFonts w:asciiTheme="minorEastAsia" w:eastAsiaTheme="minorEastAsia" w:hAnsiTheme="minorEastAsia" w:hint="eastAsia"/>
          <w:sz w:val="24"/>
        </w:rPr>
        <w:t>MTC32-2024-10</w:t>
      </w:r>
      <w:r>
        <w:rPr>
          <w:rFonts w:asciiTheme="minorEastAsia" w:eastAsiaTheme="minorEastAsia" w:hAnsiTheme="minorEastAsia" w:hint="eastAsia"/>
          <w:sz w:val="24"/>
        </w:rPr>
        <w:t>（</w:t>
      </w:r>
      <w:r>
        <w:rPr>
          <w:rFonts w:asciiTheme="minorEastAsia" w:eastAsiaTheme="minorEastAsia" w:hAnsiTheme="minorEastAsia" w:hint="eastAsia"/>
          <w:sz w:val="24"/>
        </w:rPr>
        <w:t>C</w:t>
      </w:r>
      <w:r>
        <w:rPr>
          <w:rFonts w:asciiTheme="minorEastAsia" w:eastAsiaTheme="minorEastAsia" w:hAnsiTheme="minorEastAsia" w:hint="eastAsia"/>
          <w:sz w:val="24"/>
        </w:rPr>
        <w:t>））由全国航空专用计量测试技术委员会提出制定并归口</w:t>
      </w:r>
      <w:r>
        <w:rPr>
          <w:rFonts w:asciiTheme="minorEastAsia" w:eastAsiaTheme="minorEastAsia" w:hAnsiTheme="minorEastAsia" w:hint="eastAsia"/>
          <w:sz w:val="24"/>
        </w:rPr>
        <w:t>，</w:t>
      </w:r>
      <w:r>
        <w:rPr>
          <w:rFonts w:asciiTheme="minorEastAsia" w:eastAsiaTheme="minorEastAsia" w:hAnsiTheme="minorEastAsia" w:hint="eastAsia"/>
          <w:sz w:val="24"/>
        </w:rPr>
        <w:t>起止年限为</w:t>
      </w:r>
      <w:r>
        <w:rPr>
          <w:rFonts w:asciiTheme="minorEastAsia" w:eastAsiaTheme="minorEastAsia" w:hAnsiTheme="minorEastAsia" w:hint="eastAsia"/>
          <w:sz w:val="24"/>
        </w:rPr>
        <w:t>202</w:t>
      </w:r>
      <w:r>
        <w:rPr>
          <w:rFonts w:asciiTheme="minorEastAsia" w:eastAsiaTheme="minorEastAsia" w:hAnsiTheme="minorEastAsia" w:hint="eastAsia"/>
          <w:sz w:val="24"/>
        </w:rPr>
        <w:t>4</w:t>
      </w:r>
      <w:r>
        <w:rPr>
          <w:rFonts w:asciiTheme="minorEastAsia" w:eastAsiaTheme="minorEastAsia" w:hAnsiTheme="minorEastAsia" w:hint="eastAsia"/>
          <w:sz w:val="24"/>
        </w:rPr>
        <w:t>年</w:t>
      </w:r>
      <w:r>
        <w:rPr>
          <w:rFonts w:asciiTheme="minorEastAsia" w:eastAsiaTheme="minorEastAsia" w:hAnsiTheme="minorEastAsia" w:hint="eastAsia"/>
          <w:sz w:val="24"/>
        </w:rPr>
        <w:t>至</w:t>
      </w:r>
      <w:r>
        <w:rPr>
          <w:rFonts w:asciiTheme="minorEastAsia" w:eastAsiaTheme="minorEastAsia" w:hAnsiTheme="minorEastAsia" w:hint="eastAsia"/>
          <w:sz w:val="24"/>
        </w:rPr>
        <w:t>2025</w:t>
      </w:r>
      <w:r>
        <w:rPr>
          <w:rFonts w:asciiTheme="minorEastAsia" w:eastAsiaTheme="minorEastAsia" w:hAnsiTheme="minorEastAsia" w:hint="eastAsia"/>
          <w:sz w:val="24"/>
        </w:rPr>
        <w:t>年</w:t>
      </w:r>
      <w:r>
        <w:rPr>
          <w:rFonts w:asciiTheme="minorEastAsia" w:eastAsiaTheme="minorEastAsia" w:hAnsiTheme="minorEastAsia" w:hint="eastAsia"/>
          <w:sz w:val="24"/>
        </w:rPr>
        <w:t>。</w:t>
      </w:r>
    </w:p>
    <w:p w:rsidR="005F266A" w:rsidRDefault="00D768AD">
      <w:pPr>
        <w:pStyle w:val="3"/>
        <w:spacing w:before="120" w:after="120" w:line="240" w:lineRule="auto"/>
        <w:rPr>
          <w:rFonts w:ascii="黑体" w:eastAsia="黑体" w:hAnsi="黑体" w:cs="黑体"/>
          <w:sz w:val="28"/>
          <w:szCs w:val="28"/>
        </w:rPr>
      </w:pPr>
      <w:r>
        <w:rPr>
          <w:rFonts w:ascii="黑体" w:eastAsia="黑体" w:hAnsi="黑体" w:cs="黑体" w:hint="eastAsia"/>
          <w:sz w:val="28"/>
          <w:szCs w:val="28"/>
        </w:rPr>
        <w:t>1.</w:t>
      </w:r>
      <w:r w:rsidR="00DF065F">
        <w:rPr>
          <w:rFonts w:ascii="黑体" w:eastAsia="黑体" w:hAnsi="黑体" w:cs="黑体"/>
          <w:sz w:val="28"/>
          <w:szCs w:val="28"/>
        </w:rPr>
        <w:t>2</w:t>
      </w:r>
      <w:r>
        <w:rPr>
          <w:rFonts w:ascii="黑体" w:eastAsia="黑体" w:hAnsi="黑体" w:cs="黑体" w:hint="eastAsia"/>
          <w:sz w:val="28"/>
          <w:szCs w:val="28"/>
        </w:rPr>
        <w:t xml:space="preserve"> </w:t>
      </w:r>
      <w:r>
        <w:rPr>
          <w:rFonts w:ascii="黑体" w:eastAsia="黑体" w:hAnsi="黑体" w:cs="黑体" w:hint="eastAsia"/>
          <w:sz w:val="28"/>
          <w:szCs w:val="28"/>
        </w:rPr>
        <w:t>制定背景</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在航空工业领域，每年都有大量的工件需要验收，其中大部分工件的几何特征的技术指标通常以验收部门或计量技术机构出具的测量结果作为主要依据，并根据给定的公差要求（最大允许误差）做出合格与不合格的判定。航空工件几何参数特性的验收，至关重要的环节之一就是符合性判定，理想状态应为作出“正确判定”，即仅将真正符合技术要求的工件作为合格品接受，或者仅将不符合技术要求的工件作为不合格品拒收。但是由于测量不确定度的存在，测量结果按规定的公差要求进行符合性判定具有一定的误判风险，“错误判定”通常有两种：被作为合格品接收的工件实际</w:t>
      </w:r>
      <w:r>
        <w:rPr>
          <w:rFonts w:asciiTheme="minorEastAsia" w:eastAsiaTheme="minorEastAsia" w:hAnsiTheme="minorEastAsia" w:hint="eastAsia"/>
          <w:sz w:val="24"/>
        </w:rPr>
        <w:t>上可能是不合格的，或者被作为不合格品拒绝的工件实际上可能是合格的</w:t>
      </w:r>
      <w:r>
        <w:rPr>
          <w:rFonts w:asciiTheme="minorEastAsia" w:eastAsiaTheme="minorEastAsia" w:hAnsiTheme="minorEastAsia" w:hint="eastAsia"/>
          <w:sz w:val="24"/>
        </w:rPr>
        <w:t>。</w:t>
      </w:r>
      <w:r>
        <w:rPr>
          <w:rFonts w:asciiTheme="minorEastAsia" w:eastAsiaTheme="minorEastAsia" w:hAnsiTheme="minorEastAsia" w:hint="eastAsia"/>
          <w:sz w:val="24"/>
        </w:rPr>
        <w:t>因此工件做出合格或不合格的符合性判定时，应考虑测量不确定度、概率分布等，尤其是，当工件的允许误差极限值在由测得值和测量不确定给出的区间内时，供应商与客户的需求是完全不同的，供应商期待更多的产品被判定为合格品被接受，而客户则不愿意接受有任何不合格风险的产品，利益不同常常导致双方在验收时发生纠纷。</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随着大量如航空发动机等精密装备向高端化迈进，以及大量核心关键零部件向超精密级制造发展，在航空领域几何零件且通常具有较高的技术要求，</w:t>
      </w:r>
      <w:r>
        <w:rPr>
          <w:rFonts w:asciiTheme="minorEastAsia" w:eastAsiaTheme="minorEastAsia" w:hAnsiTheme="minorEastAsia" w:hint="eastAsia"/>
          <w:sz w:val="24"/>
        </w:rPr>
        <w:t>如制造周期长、制造成</w:t>
      </w:r>
      <w:r>
        <w:rPr>
          <w:rFonts w:asciiTheme="minorEastAsia" w:eastAsiaTheme="minorEastAsia" w:hAnsiTheme="minorEastAsia" w:hint="eastAsia"/>
          <w:sz w:val="24"/>
        </w:rPr>
        <w:t>本高昂的大型复杂工件，</w:t>
      </w:r>
      <w:r>
        <w:rPr>
          <w:rFonts w:asciiTheme="minorEastAsia" w:eastAsiaTheme="minorEastAsia" w:hAnsiTheme="minorEastAsia" w:hint="eastAsia"/>
          <w:sz w:val="24"/>
        </w:rPr>
        <w:t>在验收工作中常常发生争议，</w:t>
      </w:r>
      <w:r>
        <w:rPr>
          <w:rFonts w:asciiTheme="minorEastAsia" w:eastAsiaTheme="minorEastAsia" w:hAnsiTheme="minorEastAsia" w:hint="eastAsia"/>
          <w:sz w:val="24"/>
        </w:rPr>
        <w:t>在航空制造领域，一直在探讨</w:t>
      </w:r>
      <w:r>
        <w:rPr>
          <w:rFonts w:asciiTheme="minorEastAsia" w:eastAsiaTheme="minorEastAsia" w:hAnsiTheme="minorEastAsia" w:hint="eastAsia"/>
          <w:sz w:val="24"/>
        </w:rPr>
        <w:t>航空工件的几何特性</w:t>
      </w:r>
      <w:r>
        <w:rPr>
          <w:rFonts w:asciiTheme="minorEastAsia" w:eastAsiaTheme="minorEastAsia" w:hAnsiTheme="minorEastAsia" w:hint="eastAsia"/>
          <w:sz w:val="24"/>
        </w:rPr>
        <w:t>统一的符合性判定规则。</w:t>
      </w:r>
      <w:r>
        <w:rPr>
          <w:rFonts w:asciiTheme="minorEastAsia" w:eastAsiaTheme="minorEastAsia" w:hAnsiTheme="minorEastAsia" w:hint="eastAsia"/>
          <w:sz w:val="24"/>
        </w:rPr>
        <w:t>航空工件几何参数测量结果符合性判定作为航空制造业关键性技术要求</w:t>
      </w:r>
      <w:r>
        <w:rPr>
          <w:rFonts w:asciiTheme="minorEastAsia" w:eastAsiaTheme="minorEastAsia" w:hAnsiTheme="minorEastAsia" w:hint="eastAsia"/>
          <w:sz w:val="24"/>
        </w:rPr>
        <w:t>，</w:t>
      </w:r>
      <w:r>
        <w:rPr>
          <w:rFonts w:asciiTheme="minorEastAsia" w:eastAsiaTheme="minorEastAsia" w:hAnsiTheme="minorEastAsia" w:hint="eastAsia"/>
          <w:sz w:val="24"/>
        </w:rPr>
        <w:t>对生产中科学先进的计量技术规范需求越发迫切</w:t>
      </w:r>
      <w:r>
        <w:rPr>
          <w:rFonts w:asciiTheme="minorEastAsia" w:eastAsiaTheme="minorEastAsia" w:hAnsiTheme="minorEastAsia" w:hint="eastAsia"/>
          <w:sz w:val="24"/>
        </w:rPr>
        <w:t>，</w:t>
      </w:r>
      <w:r>
        <w:rPr>
          <w:rFonts w:asciiTheme="minorEastAsia" w:eastAsiaTheme="minorEastAsia" w:hAnsiTheme="minorEastAsia" w:hint="eastAsia"/>
          <w:sz w:val="24"/>
        </w:rPr>
        <w:t>本规范针对航空工件的几何特性要求，明确航空工件几何参数的符合性判定规则，包括测得值接近允许误差极限时要</w:t>
      </w:r>
      <w:r>
        <w:rPr>
          <w:rFonts w:asciiTheme="minorEastAsia" w:eastAsiaTheme="minorEastAsia" w:hAnsiTheme="minorEastAsia" w:hint="eastAsia"/>
          <w:sz w:val="24"/>
        </w:rPr>
        <w:lastRenderedPageBreak/>
        <w:t>考虑的测量不确定度，在验收时对于不确定区内的纠纷处理等，指导航空企业和检测机构正确开展航空工件的验收工作。本规范发布后，将应用于航空工业企业的验收单位（含计量技术机构），为机构在验收航空工</w:t>
      </w:r>
      <w:r>
        <w:rPr>
          <w:rFonts w:asciiTheme="minorEastAsia" w:eastAsiaTheme="minorEastAsia" w:hAnsiTheme="minorEastAsia" w:hint="eastAsia"/>
          <w:sz w:val="24"/>
        </w:rPr>
        <w:t>件的几何参数工作中提供依据，减少误判的风险，解决</w:t>
      </w:r>
      <w:r>
        <w:rPr>
          <w:rFonts w:asciiTheme="minorEastAsia" w:eastAsiaTheme="minorEastAsia" w:hAnsiTheme="minorEastAsia" w:hint="eastAsia"/>
          <w:sz w:val="24"/>
        </w:rPr>
        <w:t>生产商</w:t>
      </w:r>
      <w:r>
        <w:rPr>
          <w:rFonts w:asciiTheme="minorEastAsia" w:eastAsiaTheme="minorEastAsia" w:hAnsiTheme="minorEastAsia" w:hint="eastAsia"/>
          <w:sz w:val="24"/>
        </w:rPr>
        <w:t>与</w:t>
      </w:r>
      <w:r>
        <w:rPr>
          <w:rFonts w:asciiTheme="minorEastAsia" w:eastAsiaTheme="minorEastAsia" w:hAnsiTheme="minorEastAsia" w:hint="eastAsia"/>
          <w:sz w:val="24"/>
        </w:rPr>
        <w:t>用户</w:t>
      </w:r>
      <w:r>
        <w:rPr>
          <w:rFonts w:asciiTheme="minorEastAsia" w:eastAsiaTheme="minorEastAsia" w:hAnsiTheme="minorEastAsia" w:hint="eastAsia"/>
          <w:sz w:val="24"/>
        </w:rPr>
        <w:t>的纠纷，同时更好的与国际接轨。</w:t>
      </w:r>
    </w:p>
    <w:p w:rsidR="005F266A" w:rsidRDefault="00D768AD">
      <w:pPr>
        <w:pStyle w:val="3"/>
        <w:spacing w:before="120" w:after="120" w:line="240" w:lineRule="auto"/>
        <w:rPr>
          <w:rFonts w:ascii="黑体" w:eastAsia="黑体" w:hAnsi="黑体" w:cs="黑体"/>
          <w:sz w:val="28"/>
          <w:szCs w:val="28"/>
        </w:rPr>
      </w:pPr>
      <w:r>
        <w:rPr>
          <w:rFonts w:ascii="黑体" w:eastAsia="黑体" w:hAnsi="黑体" w:cs="黑体" w:hint="eastAsia"/>
          <w:sz w:val="28"/>
          <w:szCs w:val="28"/>
        </w:rPr>
        <w:t>1.</w:t>
      </w:r>
      <w:r w:rsidR="00DF065F">
        <w:rPr>
          <w:rFonts w:ascii="黑体" w:eastAsia="黑体" w:hAnsi="黑体" w:cs="黑体"/>
          <w:sz w:val="28"/>
          <w:szCs w:val="28"/>
        </w:rPr>
        <w:t>3</w:t>
      </w:r>
      <w:r>
        <w:rPr>
          <w:rFonts w:ascii="黑体" w:eastAsia="黑体" w:hAnsi="黑体" w:cs="黑体" w:hint="eastAsia"/>
          <w:sz w:val="28"/>
          <w:szCs w:val="28"/>
        </w:rPr>
        <w:t xml:space="preserve"> </w:t>
      </w:r>
      <w:r>
        <w:rPr>
          <w:rFonts w:ascii="黑体" w:eastAsia="黑体" w:hAnsi="黑体" w:cs="黑体" w:hint="eastAsia"/>
          <w:sz w:val="28"/>
          <w:szCs w:val="28"/>
        </w:rPr>
        <w:t>起草过程</w:t>
      </w:r>
    </w:p>
    <w:p w:rsidR="005F266A" w:rsidRDefault="00D768AD">
      <w:pPr>
        <w:pStyle w:val="4"/>
        <w:spacing w:before="120" w:after="120" w:line="240" w:lineRule="auto"/>
        <w:rPr>
          <w:sz w:val="24"/>
        </w:rPr>
      </w:pPr>
      <w:r>
        <w:rPr>
          <w:rFonts w:hint="eastAsia"/>
          <w:sz w:val="24"/>
        </w:rPr>
        <w:t>1.</w:t>
      </w:r>
      <w:r w:rsidR="00DF065F">
        <w:rPr>
          <w:sz w:val="24"/>
        </w:rPr>
        <w:t>3</w:t>
      </w:r>
      <w:r>
        <w:rPr>
          <w:rFonts w:hint="eastAsia"/>
          <w:sz w:val="24"/>
        </w:rPr>
        <w:t xml:space="preserve">.1 </w:t>
      </w:r>
      <w:r>
        <w:rPr>
          <w:rFonts w:hint="eastAsia"/>
          <w:sz w:val="24"/>
        </w:rPr>
        <w:t>预研阶段</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全国航空专用计量测试技术委员会（以下简称“委员会”）作为国家市场监督管理总局成立的专业技术委员会，承担着全国航空专用计量技术规范的起草、审定任务。《航空工件几何参数测量结果的符合性判定规则》国家计量技术规范申报立项前，委员会秘书处组织专家对本规范进行了广泛的调研，经过调研，中国航空工业集团公司北京长城计量测试技术研究所承担了本规范的牵头起草工作，并成立由中国航空工业集团公司北京</w:t>
      </w:r>
      <w:r>
        <w:rPr>
          <w:rFonts w:asciiTheme="minorEastAsia" w:eastAsiaTheme="minorEastAsia" w:hAnsiTheme="minorEastAsia" w:hint="eastAsia"/>
          <w:sz w:val="24"/>
        </w:rPr>
        <w:t>长城计量测试技术研究所、航空工业沈阳飞机设计研究所、西安计量技术研究院、</w:t>
      </w:r>
      <w:r>
        <w:rPr>
          <w:rFonts w:asciiTheme="minorEastAsia" w:eastAsiaTheme="minorEastAsia" w:hAnsiTheme="minorEastAsia" w:hint="eastAsia"/>
          <w:sz w:val="24"/>
        </w:rPr>
        <w:t>中</w:t>
      </w:r>
      <w:r>
        <w:rPr>
          <w:rFonts w:asciiTheme="minorEastAsia" w:eastAsiaTheme="minorEastAsia" w:hAnsiTheme="minorEastAsia"/>
          <w:sz w:val="24"/>
        </w:rPr>
        <w:t>国合格评定国家认可中心</w:t>
      </w:r>
      <w:r>
        <w:rPr>
          <w:rFonts w:asciiTheme="minorEastAsia" w:eastAsiaTheme="minorEastAsia" w:hAnsiTheme="minorEastAsia" w:hint="eastAsia"/>
          <w:sz w:val="24"/>
        </w:rPr>
        <w:t>、</w:t>
      </w:r>
      <w:r>
        <w:rPr>
          <w:rFonts w:asciiTheme="minorEastAsia" w:eastAsiaTheme="minorEastAsia" w:hAnsiTheme="minorEastAsia" w:hint="eastAsia"/>
          <w:sz w:val="24"/>
        </w:rPr>
        <w:t>中航西安飞机工业集团股份有限公司、航空工业成都飞机工业（集团）有限责任公司、辽宁省计量科学研究院组成的规范起草组。规范起草组成员即时查阅国内外相关资料，在前期项目研究、文献资料分析和调研的基础上，规范起草组召开了多次会议，讨论并确定了开展规范起草工作的原则、程序、步骤和方法，起草形成文本初稿。</w:t>
      </w:r>
    </w:p>
    <w:p w:rsidR="005F266A" w:rsidRDefault="00D768AD">
      <w:pPr>
        <w:pStyle w:val="4"/>
        <w:spacing w:before="120" w:after="120" w:line="240" w:lineRule="auto"/>
        <w:rPr>
          <w:sz w:val="24"/>
        </w:rPr>
      </w:pPr>
      <w:r>
        <w:rPr>
          <w:rFonts w:hint="eastAsia"/>
          <w:sz w:val="24"/>
        </w:rPr>
        <w:t>1.</w:t>
      </w:r>
      <w:r w:rsidR="00DF065F">
        <w:rPr>
          <w:sz w:val="24"/>
        </w:rPr>
        <w:t>3</w:t>
      </w:r>
      <w:bookmarkStart w:id="0" w:name="_GoBack"/>
      <w:bookmarkEnd w:id="0"/>
      <w:r>
        <w:rPr>
          <w:rFonts w:hint="eastAsia"/>
          <w:sz w:val="24"/>
        </w:rPr>
        <w:t xml:space="preserve">.2 </w:t>
      </w:r>
      <w:r>
        <w:rPr>
          <w:rFonts w:hint="eastAsia"/>
          <w:sz w:val="24"/>
        </w:rPr>
        <w:t>起草阶段</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2024</w:t>
      </w:r>
      <w:r>
        <w:rPr>
          <w:rFonts w:asciiTheme="minorEastAsia" w:eastAsiaTheme="minorEastAsia" w:hAnsiTheme="minorEastAsia" w:hint="eastAsia"/>
          <w:sz w:val="24"/>
        </w:rPr>
        <w:t>年</w:t>
      </w:r>
      <w:r>
        <w:rPr>
          <w:rFonts w:asciiTheme="minorEastAsia" w:eastAsiaTheme="minorEastAsia" w:hAnsiTheme="minorEastAsia" w:hint="eastAsia"/>
          <w:sz w:val="24"/>
        </w:rPr>
        <w:t>5</w:t>
      </w:r>
      <w:r>
        <w:rPr>
          <w:rFonts w:asciiTheme="minorEastAsia" w:eastAsiaTheme="minorEastAsia" w:hAnsiTheme="minorEastAsia" w:hint="eastAsia"/>
          <w:sz w:val="24"/>
        </w:rPr>
        <w:t>月</w:t>
      </w:r>
      <w:r>
        <w:rPr>
          <w:rFonts w:asciiTheme="minorEastAsia" w:eastAsiaTheme="minorEastAsia" w:hAnsiTheme="minorEastAsia" w:hint="eastAsia"/>
          <w:sz w:val="24"/>
        </w:rPr>
        <w:t>31</w:t>
      </w:r>
      <w:r>
        <w:rPr>
          <w:rFonts w:asciiTheme="minorEastAsia" w:eastAsiaTheme="minorEastAsia" w:hAnsiTheme="minorEastAsia" w:hint="eastAsia"/>
          <w:sz w:val="24"/>
        </w:rPr>
        <w:t>日，国家计量技术规范制定计划下达后，委员会第一时间通知了规范起草组。</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2024</w:t>
      </w:r>
      <w:r>
        <w:rPr>
          <w:rFonts w:asciiTheme="minorEastAsia" w:eastAsiaTheme="minorEastAsia" w:hAnsiTheme="minorEastAsia" w:hint="eastAsia"/>
          <w:sz w:val="24"/>
        </w:rPr>
        <w:t>年</w:t>
      </w:r>
      <w:r>
        <w:rPr>
          <w:rFonts w:asciiTheme="minorEastAsia" w:eastAsiaTheme="minorEastAsia" w:hAnsiTheme="minorEastAsia" w:hint="eastAsia"/>
          <w:sz w:val="24"/>
        </w:rPr>
        <w:t>6</w:t>
      </w:r>
      <w:r>
        <w:rPr>
          <w:rFonts w:asciiTheme="minorEastAsia" w:eastAsiaTheme="minorEastAsia" w:hAnsiTheme="minorEastAsia" w:hint="eastAsia"/>
          <w:sz w:val="24"/>
        </w:rPr>
        <w:t>月</w:t>
      </w:r>
      <w:r>
        <w:rPr>
          <w:rFonts w:asciiTheme="minorEastAsia" w:eastAsiaTheme="minorEastAsia" w:hAnsiTheme="minorEastAsia" w:hint="eastAsia"/>
          <w:sz w:val="24"/>
        </w:rPr>
        <w:t>2</w:t>
      </w:r>
      <w:r>
        <w:rPr>
          <w:rFonts w:asciiTheme="minorEastAsia" w:eastAsiaTheme="minorEastAsia" w:hAnsiTheme="minorEastAsia" w:hint="eastAsia"/>
          <w:sz w:val="24"/>
        </w:rPr>
        <w:t>日，规范起草组立即通过线上</w:t>
      </w:r>
      <w:r>
        <w:rPr>
          <w:rFonts w:asciiTheme="minorEastAsia" w:eastAsiaTheme="minorEastAsia" w:hAnsiTheme="minorEastAsia" w:hint="eastAsia"/>
          <w:sz w:val="24"/>
        </w:rPr>
        <w:t>+</w:t>
      </w:r>
      <w:r>
        <w:rPr>
          <w:rFonts w:asciiTheme="minorEastAsia" w:eastAsiaTheme="minorEastAsia" w:hAnsiTheme="minorEastAsia" w:hint="eastAsia"/>
          <w:sz w:val="24"/>
        </w:rPr>
        <w:t>线下的形式召开了规范起草启动会。会上，牵头起草单位向与会专家介绍了规范的立项背景，并结合前期各单位申请加入规范起草组情况，介绍了规范起草工作组的暂定方案，规范制定原则和框架内容，确定了下一步工作计划。</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2024</w:t>
      </w:r>
      <w:r>
        <w:rPr>
          <w:rFonts w:asciiTheme="minorEastAsia" w:eastAsiaTheme="minorEastAsia" w:hAnsiTheme="minorEastAsia" w:hint="eastAsia"/>
          <w:sz w:val="24"/>
        </w:rPr>
        <w:t>年</w:t>
      </w:r>
      <w:r>
        <w:rPr>
          <w:rFonts w:asciiTheme="minorEastAsia" w:eastAsiaTheme="minorEastAsia" w:hAnsiTheme="minorEastAsia" w:hint="eastAsia"/>
          <w:sz w:val="24"/>
        </w:rPr>
        <w:t>6</w:t>
      </w:r>
      <w:r>
        <w:rPr>
          <w:rFonts w:asciiTheme="minorEastAsia" w:eastAsiaTheme="minorEastAsia" w:hAnsiTheme="minorEastAsia" w:hint="eastAsia"/>
          <w:sz w:val="24"/>
        </w:rPr>
        <w:t>月</w:t>
      </w:r>
      <w:r>
        <w:rPr>
          <w:rFonts w:asciiTheme="minorEastAsia" w:eastAsiaTheme="minorEastAsia" w:hAnsiTheme="minorEastAsia" w:hint="eastAsia"/>
          <w:sz w:val="24"/>
        </w:rPr>
        <w:t>23</w:t>
      </w:r>
      <w:r>
        <w:rPr>
          <w:rFonts w:asciiTheme="minorEastAsia" w:eastAsiaTheme="minorEastAsia" w:hAnsiTheme="minorEastAsia" w:hint="eastAsia"/>
          <w:sz w:val="24"/>
        </w:rPr>
        <w:t>日，规范起草组通过线上</w:t>
      </w:r>
      <w:r>
        <w:rPr>
          <w:rFonts w:asciiTheme="minorEastAsia" w:eastAsiaTheme="minorEastAsia" w:hAnsiTheme="minorEastAsia" w:hint="eastAsia"/>
          <w:sz w:val="24"/>
        </w:rPr>
        <w:t>+</w:t>
      </w:r>
      <w:r>
        <w:rPr>
          <w:rFonts w:asciiTheme="minorEastAsia" w:eastAsiaTheme="minorEastAsia" w:hAnsiTheme="minorEastAsia" w:hint="eastAsia"/>
          <w:sz w:val="24"/>
        </w:rPr>
        <w:t>线下的形式召开了规范起草讨论会，规范起草组成员参加。会议重点围绕国家规范草案进行了讨论，形成了一系列意见建议，并对下一步工作进行了任务分工。会后，规范起草组结合会议</w:t>
      </w:r>
      <w:r>
        <w:rPr>
          <w:rFonts w:asciiTheme="minorEastAsia" w:eastAsiaTheme="minorEastAsia" w:hAnsiTheme="minorEastAsia" w:hint="eastAsia"/>
          <w:sz w:val="24"/>
        </w:rPr>
        <w:lastRenderedPageBreak/>
        <w:t>意见，对规范草案进行了修改和完善。</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2024</w:t>
      </w:r>
      <w:r>
        <w:rPr>
          <w:rFonts w:asciiTheme="minorEastAsia" w:eastAsiaTheme="minorEastAsia" w:hAnsiTheme="minorEastAsia" w:hint="eastAsia"/>
          <w:sz w:val="24"/>
        </w:rPr>
        <w:t>年</w:t>
      </w:r>
      <w:r>
        <w:rPr>
          <w:rFonts w:asciiTheme="minorEastAsia" w:eastAsiaTheme="minorEastAsia" w:hAnsiTheme="minorEastAsia" w:hint="eastAsia"/>
          <w:sz w:val="24"/>
        </w:rPr>
        <w:t>7</w:t>
      </w:r>
      <w:r>
        <w:rPr>
          <w:rFonts w:asciiTheme="minorEastAsia" w:eastAsiaTheme="minorEastAsia" w:hAnsiTheme="minorEastAsia" w:hint="eastAsia"/>
          <w:sz w:val="24"/>
        </w:rPr>
        <w:t>月</w:t>
      </w:r>
      <w:r>
        <w:rPr>
          <w:rFonts w:asciiTheme="minorEastAsia" w:eastAsiaTheme="minorEastAsia" w:hAnsiTheme="minorEastAsia" w:hint="eastAsia"/>
          <w:sz w:val="24"/>
        </w:rPr>
        <w:t>9</w:t>
      </w:r>
      <w:r>
        <w:rPr>
          <w:rFonts w:asciiTheme="minorEastAsia" w:eastAsiaTheme="minorEastAsia" w:hAnsiTheme="minorEastAsia" w:hint="eastAsia"/>
          <w:sz w:val="24"/>
        </w:rPr>
        <w:t>日～</w:t>
      </w:r>
      <w:r>
        <w:rPr>
          <w:rFonts w:asciiTheme="minorEastAsia" w:eastAsiaTheme="minorEastAsia" w:hAnsiTheme="minorEastAsia" w:hint="eastAsia"/>
          <w:sz w:val="24"/>
        </w:rPr>
        <w:t>11</w:t>
      </w:r>
      <w:r>
        <w:rPr>
          <w:rFonts w:asciiTheme="minorEastAsia" w:eastAsiaTheme="minorEastAsia" w:hAnsiTheme="minorEastAsia" w:hint="eastAsia"/>
          <w:sz w:val="24"/>
        </w:rPr>
        <w:t>日，规范起草组主要人员在丹东对规范草案进行了细致地修改。在此基础上形成了规范初稿，并将规范初稿发送到规范起草组所有成员征求意见，并根据意见对规范初稿进行了修订。</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2024</w:t>
      </w:r>
      <w:r>
        <w:rPr>
          <w:rFonts w:asciiTheme="minorEastAsia" w:eastAsiaTheme="minorEastAsia" w:hAnsiTheme="minorEastAsia" w:hint="eastAsia"/>
          <w:sz w:val="24"/>
        </w:rPr>
        <w:t>年</w:t>
      </w:r>
      <w:r>
        <w:rPr>
          <w:rFonts w:asciiTheme="minorEastAsia" w:eastAsiaTheme="minorEastAsia" w:hAnsiTheme="minorEastAsia" w:hint="eastAsia"/>
          <w:sz w:val="24"/>
        </w:rPr>
        <w:t>8</w:t>
      </w:r>
      <w:r>
        <w:rPr>
          <w:rFonts w:asciiTheme="minorEastAsia" w:eastAsiaTheme="minorEastAsia" w:hAnsiTheme="minorEastAsia" w:hint="eastAsia"/>
          <w:sz w:val="24"/>
        </w:rPr>
        <w:t>月</w:t>
      </w:r>
      <w:r>
        <w:rPr>
          <w:rFonts w:asciiTheme="minorEastAsia" w:eastAsiaTheme="minorEastAsia" w:hAnsiTheme="minorEastAsia" w:hint="eastAsia"/>
          <w:sz w:val="24"/>
        </w:rPr>
        <w:t>13</w:t>
      </w:r>
      <w:r>
        <w:rPr>
          <w:rFonts w:asciiTheme="minorEastAsia" w:eastAsiaTheme="minorEastAsia" w:hAnsiTheme="minorEastAsia" w:hint="eastAsia"/>
          <w:sz w:val="24"/>
        </w:rPr>
        <w:t>日，起草组编写了规范初稿，并将规范初稿发送到规范起草组所有成员征求意见，并根据意见对规范初稿进行第一次修订。</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2024</w:t>
      </w:r>
      <w:r>
        <w:rPr>
          <w:rFonts w:asciiTheme="minorEastAsia" w:eastAsiaTheme="minorEastAsia" w:hAnsiTheme="minorEastAsia" w:hint="eastAsia"/>
          <w:sz w:val="24"/>
        </w:rPr>
        <w:t>年</w:t>
      </w:r>
      <w:r>
        <w:rPr>
          <w:rFonts w:asciiTheme="minorEastAsia" w:eastAsiaTheme="minorEastAsia" w:hAnsiTheme="minorEastAsia" w:hint="eastAsia"/>
          <w:sz w:val="24"/>
        </w:rPr>
        <w:t>9</w:t>
      </w:r>
      <w:r>
        <w:rPr>
          <w:rFonts w:asciiTheme="minorEastAsia" w:eastAsiaTheme="minorEastAsia" w:hAnsiTheme="minorEastAsia" w:hint="eastAsia"/>
          <w:sz w:val="24"/>
        </w:rPr>
        <w:t>月</w:t>
      </w:r>
      <w:r>
        <w:rPr>
          <w:rFonts w:asciiTheme="minorEastAsia" w:eastAsiaTheme="minorEastAsia" w:hAnsiTheme="minorEastAsia" w:hint="eastAsia"/>
          <w:sz w:val="24"/>
        </w:rPr>
        <w:t>4</w:t>
      </w:r>
      <w:r>
        <w:rPr>
          <w:rFonts w:asciiTheme="minorEastAsia" w:eastAsiaTheme="minorEastAsia" w:hAnsiTheme="minorEastAsia" w:hint="eastAsia"/>
          <w:sz w:val="24"/>
        </w:rPr>
        <w:t>日，规范起草组根据委员会要求，起草组成员对规范初稿进行了第二次讨论修订，形成了</w:t>
      </w:r>
      <w:r>
        <w:rPr>
          <w:rFonts w:asciiTheme="minorEastAsia" w:eastAsiaTheme="minorEastAsia" w:hAnsiTheme="minorEastAsia" w:hint="eastAsia"/>
          <w:sz w:val="24"/>
        </w:rPr>
        <w:t>《</w:t>
      </w:r>
      <w:r>
        <w:rPr>
          <w:rFonts w:asciiTheme="minorEastAsia" w:eastAsiaTheme="minorEastAsia" w:hAnsiTheme="minorEastAsia" w:hint="eastAsia"/>
          <w:sz w:val="24"/>
        </w:rPr>
        <w:t>航空工件几何参数测量结果的符合性判定规则》国家计量技术规范草稿上交稿，并启动编制说明起草工作。</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10</w:t>
      </w:r>
      <w:r>
        <w:rPr>
          <w:rFonts w:asciiTheme="minorEastAsia" w:eastAsiaTheme="minorEastAsia" w:hAnsiTheme="minorEastAsia" w:hint="eastAsia"/>
          <w:sz w:val="24"/>
        </w:rPr>
        <w:t>月</w:t>
      </w:r>
      <w:r>
        <w:rPr>
          <w:rFonts w:asciiTheme="minorEastAsia" w:eastAsiaTheme="minorEastAsia" w:hAnsiTheme="minorEastAsia" w:hint="eastAsia"/>
          <w:sz w:val="24"/>
        </w:rPr>
        <w:t>18</w:t>
      </w:r>
      <w:r>
        <w:rPr>
          <w:rFonts w:asciiTheme="minorEastAsia" w:eastAsiaTheme="minorEastAsia" w:hAnsiTheme="minorEastAsia" w:hint="eastAsia"/>
          <w:sz w:val="24"/>
        </w:rPr>
        <w:t>日</w:t>
      </w:r>
      <w:r>
        <w:rPr>
          <w:rFonts w:asciiTheme="minorEastAsia" w:eastAsiaTheme="minorEastAsia" w:hAnsiTheme="minorEastAsia" w:hint="eastAsia"/>
          <w:sz w:val="24"/>
        </w:rPr>
        <w:t>：起草组</w:t>
      </w:r>
      <w:r>
        <w:rPr>
          <w:rFonts w:asciiTheme="minorEastAsia" w:eastAsiaTheme="minorEastAsia" w:hAnsiTheme="minorEastAsia" w:hint="eastAsia"/>
          <w:sz w:val="24"/>
        </w:rPr>
        <w:t>对本规范的主要参考文件</w:t>
      </w:r>
      <w:r>
        <w:rPr>
          <w:rFonts w:asciiTheme="minorEastAsia" w:eastAsiaTheme="minorEastAsia" w:hAnsiTheme="minorEastAsia" w:hint="eastAsia"/>
          <w:sz w:val="24"/>
        </w:rPr>
        <w:t>GB/T 18779</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DB61/T 1327.10-2023 </w:t>
      </w:r>
      <w:r>
        <w:rPr>
          <w:rFonts w:asciiTheme="minorEastAsia" w:eastAsiaTheme="minorEastAsia" w:hAnsiTheme="minorEastAsia" w:hint="eastAsia"/>
          <w:sz w:val="24"/>
        </w:rPr>
        <w:t>《</w:t>
      </w:r>
      <w:r>
        <w:rPr>
          <w:rFonts w:asciiTheme="minorEastAsia" w:eastAsiaTheme="minorEastAsia" w:hAnsiTheme="minorEastAsia" w:hint="eastAsia"/>
          <w:sz w:val="24"/>
        </w:rPr>
        <w:t>实验室资质认定</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10</w:t>
      </w:r>
      <w:r>
        <w:rPr>
          <w:rFonts w:asciiTheme="minorEastAsia" w:eastAsiaTheme="minorEastAsia" w:hAnsiTheme="minorEastAsia" w:hint="eastAsia"/>
          <w:sz w:val="24"/>
        </w:rPr>
        <w:t>部分：测量不确定度在检测结果符合性判定中的应用指南</w:t>
      </w:r>
      <w:r>
        <w:rPr>
          <w:rFonts w:asciiTheme="minorEastAsia" w:eastAsiaTheme="minorEastAsia" w:hAnsiTheme="minorEastAsia" w:hint="eastAsia"/>
          <w:sz w:val="24"/>
        </w:rPr>
        <w:t>》，</w:t>
      </w:r>
      <w:r>
        <w:rPr>
          <w:rFonts w:asciiTheme="minorEastAsia" w:eastAsiaTheme="minorEastAsia" w:hAnsiTheme="minorEastAsia"/>
          <w:sz w:val="24"/>
        </w:rPr>
        <w:t xml:space="preserve">GB/T 27430—2022 </w:t>
      </w:r>
      <w:r>
        <w:rPr>
          <w:rFonts w:asciiTheme="minorEastAsia" w:eastAsiaTheme="minorEastAsia" w:hAnsiTheme="minorEastAsia" w:hint="eastAsia"/>
          <w:sz w:val="24"/>
        </w:rPr>
        <w:t>《</w:t>
      </w:r>
      <w:r>
        <w:rPr>
          <w:rFonts w:asciiTheme="minorEastAsia" w:eastAsiaTheme="minorEastAsia" w:hAnsiTheme="minorEastAsia"/>
          <w:sz w:val="24"/>
        </w:rPr>
        <w:t>测量不确定度在合格评定中的作用</w:t>
      </w:r>
      <w:r>
        <w:rPr>
          <w:rFonts w:asciiTheme="minorEastAsia" w:eastAsiaTheme="minorEastAsia" w:hAnsiTheme="minorEastAsia" w:hint="eastAsia"/>
          <w:sz w:val="24"/>
        </w:rPr>
        <w:t>》等进行了详细学习和讨论，对规范进行了较大的结构调整。</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2024</w:t>
      </w:r>
      <w:r>
        <w:rPr>
          <w:rFonts w:asciiTheme="minorEastAsia" w:eastAsiaTheme="minorEastAsia" w:hAnsiTheme="minorEastAsia" w:hint="eastAsia"/>
          <w:sz w:val="24"/>
        </w:rPr>
        <w:t>月</w:t>
      </w:r>
      <w:r>
        <w:rPr>
          <w:rFonts w:asciiTheme="minorEastAsia" w:eastAsiaTheme="minorEastAsia" w:hAnsiTheme="minorEastAsia" w:hint="eastAsia"/>
          <w:sz w:val="24"/>
        </w:rPr>
        <w:t>11</w:t>
      </w:r>
      <w:r>
        <w:rPr>
          <w:rFonts w:asciiTheme="minorEastAsia" w:eastAsiaTheme="minorEastAsia" w:hAnsiTheme="minorEastAsia" w:hint="eastAsia"/>
          <w:sz w:val="24"/>
        </w:rPr>
        <w:t>月</w:t>
      </w:r>
      <w:r>
        <w:rPr>
          <w:rFonts w:asciiTheme="minorEastAsia" w:eastAsiaTheme="minorEastAsia" w:hAnsiTheme="minorEastAsia" w:hint="eastAsia"/>
          <w:sz w:val="24"/>
        </w:rPr>
        <w:t>20</w:t>
      </w:r>
      <w:r>
        <w:rPr>
          <w:rFonts w:asciiTheme="minorEastAsia" w:eastAsiaTheme="minorEastAsia" w:hAnsiTheme="minorEastAsia" w:hint="eastAsia"/>
          <w:sz w:val="24"/>
        </w:rPr>
        <w:t>日</w:t>
      </w:r>
      <w:r>
        <w:rPr>
          <w:rFonts w:asciiTheme="minorEastAsia" w:eastAsiaTheme="minorEastAsia" w:hAnsiTheme="minorEastAsia" w:hint="eastAsia"/>
          <w:sz w:val="24"/>
        </w:rPr>
        <w:t>：起草组</w:t>
      </w:r>
      <w:r>
        <w:rPr>
          <w:rFonts w:asciiTheme="minorEastAsia" w:eastAsiaTheme="minorEastAsia" w:hAnsiTheme="minorEastAsia" w:hint="eastAsia"/>
          <w:sz w:val="24"/>
        </w:rPr>
        <w:t>对在</w:t>
      </w:r>
      <w:r>
        <w:rPr>
          <w:rFonts w:asciiTheme="minorEastAsia" w:eastAsiaTheme="minorEastAsia" w:hAnsiTheme="minorEastAsia" w:hint="eastAsia"/>
          <w:sz w:val="24"/>
        </w:rPr>
        <w:t>10</w:t>
      </w:r>
      <w:r>
        <w:rPr>
          <w:rFonts w:asciiTheme="minorEastAsia" w:eastAsiaTheme="minorEastAsia" w:hAnsiTheme="minorEastAsia" w:hint="eastAsia"/>
          <w:sz w:val="24"/>
        </w:rPr>
        <w:t>月至</w:t>
      </w:r>
      <w:r>
        <w:rPr>
          <w:rFonts w:asciiTheme="minorEastAsia" w:eastAsiaTheme="minorEastAsia" w:hAnsiTheme="minorEastAsia" w:hint="eastAsia"/>
          <w:sz w:val="24"/>
        </w:rPr>
        <w:t>11</w:t>
      </w:r>
      <w:r>
        <w:rPr>
          <w:rFonts w:asciiTheme="minorEastAsia" w:eastAsiaTheme="minorEastAsia" w:hAnsiTheme="minorEastAsia" w:hint="eastAsia"/>
          <w:sz w:val="24"/>
        </w:rPr>
        <w:t>月期间，经过多次讨论修改，形成</w:t>
      </w:r>
      <w:r>
        <w:rPr>
          <w:rFonts w:asciiTheme="minorEastAsia" w:eastAsiaTheme="minorEastAsia" w:hAnsiTheme="minorEastAsia" w:hint="eastAsia"/>
          <w:sz w:val="24"/>
        </w:rPr>
        <w:t>《</w:t>
      </w:r>
      <w:r>
        <w:rPr>
          <w:rFonts w:asciiTheme="minorEastAsia" w:eastAsiaTheme="minorEastAsia" w:hAnsiTheme="minorEastAsia" w:hint="eastAsia"/>
          <w:sz w:val="24"/>
        </w:rPr>
        <w:t>航空工件几何参数测量结果的符合性判定规则》</w:t>
      </w:r>
      <w:r>
        <w:rPr>
          <w:rFonts w:asciiTheme="minorEastAsia" w:eastAsiaTheme="minorEastAsia" w:hAnsiTheme="minorEastAsia" w:hint="eastAsia"/>
          <w:sz w:val="24"/>
        </w:rPr>
        <w:t>（</w:t>
      </w:r>
      <w:r>
        <w:rPr>
          <w:rFonts w:asciiTheme="minorEastAsia" w:eastAsiaTheme="minorEastAsia" w:hAnsiTheme="minorEastAsia" w:hint="eastAsia"/>
          <w:sz w:val="24"/>
        </w:rPr>
        <w:t>初审稿</w:t>
      </w:r>
      <w:r>
        <w:rPr>
          <w:rFonts w:asciiTheme="minorEastAsia" w:eastAsiaTheme="minorEastAsia" w:hAnsiTheme="minorEastAsia" w:hint="eastAsia"/>
          <w:sz w:val="24"/>
        </w:rPr>
        <w:t>），</w:t>
      </w:r>
      <w:r>
        <w:rPr>
          <w:rFonts w:asciiTheme="minorEastAsia" w:eastAsiaTheme="minorEastAsia" w:hAnsiTheme="minorEastAsia" w:hint="eastAsia"/>
          <w:sz w:val="24"/>
        </w:rPr>
        <w:t>提交委员会</w:t>
      </w:r>
      <w:r>
        <w:rPr>
          <w:rFonts w:asciiTheme="minorEastAsia" w:eastAsiaTheme="minorEastAsia" w:hAnsiTheme="minorEastAsia" w:hint="eastAsia"/>
          <w:sz w:val="24"/>
        </w:rPr>
        <w:t>。</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2024</w:t>
      </w:r>
      <w:r>
        <w:rPr>
          <w:rFonts w:asciiTheme="minorEastAsia" w:eastAsiaTheme="minorEastAsia" w:hAnsiTheme="minorEastAsia" w:hint="eastAsia"/>
          <w:sz w:val="24"/>
        </w:rPr>
        <w:t>年</w:t>
      </w:r>
      <w:r>
        <w:rPr>
          <w:rFonts w:asciiTheme="minorEastAsia" w:eastAsiaTheme="minorEastAsia" w:hAnsiTheme="minorEastAsia" w:hint="eastAsia"/>
          <w:sz w:val="24"/>
        </w:rPr>
        <w:t>11</w:t>
      </w:r>
      <w:r>
        <w:rPr>
          <w:rFonts w:asciiTheme="minorEastAsia" w:eastAsiaTheme="minorEastAsia" w:hAnsiTheme="minorEastAsia" w:hint="eastAsia"/>
          <w:sz w:val="24"/>
        </w:rPr>
        <w:t>月</w:t>
      </w:r>
      <w:r>
        <w:rPr>
          <w:rFonts w:asciiTheme="minorEastAsia" w:eastAsiaTheme="minorEastAsia" w:hAnsiTheme="minorEastAsia" w:hint="eastAsia"/>
          <w:sz w:val="24"/>
        </w:rPr>
        <w:t>27</w:t>
      </w:r>
      <w:r>
        <w:rPr>
          <w:rFonts w:asciiTheme="minorEastAsia" w:eastAsiaTheme="minorEastAsia" w:hAnsiTheme="minorEastAsia" w:hint="eastAsia"/>
          <w:sz w:val="24"/>
        </w:rPr>
        <w:t>日，参加</w:t>
      </w:r>
      <w:r>
        <w:rPr>
          <w:rFonts w:asciiTheme="minorEastAsia" w:eastAsiaTheme="minorEastAsia" w:hAnsiTheme="minorEastAsia" w:hint="eastAsia"/>
          <w:sz w:val="24"/>
        </w:rPr>
        <w:t>委员会</w:t>
      </w:r>
      <w:r>
        <w:rPr>
          <w:rFonts w:asciiTheme="minorEastAsia" w:eastAsiaTheme="minorEastAsia" w:hAnsiTheme="minorEastAsia" w:hint="eastAsia"/>
          <w:sz w:val="24"/>
        </w:rPr>
        <w:t>组织的初稿审定会，会上起草组向委员会</w:t>
      </w:r>
      <w:r>
        <w:rPr>
          <w:rFonts w:asciiTheme="minorEastAsia" w:eastAsiaTheme="minorEastAsia" w:hAnsiTheme="minorEastAsia" w:hint="eastAsia"/>
          <w:sz w:val="24"/>
        </w:rPr>
        <w:t>汇报规范起草工作情况，</w:t>
      </w:r>
      <w:r>
        <w:rPr>
          <w:rFonts w:asciiTheme="minorEastAsia" w:eastAsiaTheme="minorEastAsia" w:hAnsiTheme="minorEastAsia" w:hint="eastAsia"/>
          <w:sz w:val="24"/>
        </w:rPr>
        <w:t>听取委员专家的意见。会后起草组按照专家意见进行了较大的内容调整，形成预审稿。</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202</w:t>
      </w:r>
      <w:r>
        <w:rPr>
          <w:rFonts w:asciiTheme="minorEastAsia" w:eastAsiaTheme="minorEastAsia" w:hAnsiTheme="minorEastAsia" w:hint="eastAsia"/>
          <w:sz w:val="24"/>
        </w:rPr>
        <w:t>年</w:t>
      </w:r>
      <w:r>
        <w:rPr>
          <w:rFonts w:asciiTheme="minorEastAsia" w:eastAsiaTheme="minorEastAsia" w:hAnsiTheme="minorEastAsia" w:hint="eastAsia"/>
          <w:sz w:val="24"/>
        </w:rPr>
        <w:t>12</w:t>
      </w:r>
      <w:r>
        <w:rPr>
          <w:rFonts w:asciiTheme="minorEastAsia" w:eastAsiaTheme="minorEastAsia" w:hAnsiTheme="minorEastAsia" w:hint="eastAsia"/>
          <w:sz w:val="24"/>
        </w:rPr>
        <w:t>月</w:t>
      </w:r>
      <w:r>
        <w:rPr>
          <w:rFonts w:asciiTheme="minorEastAsia" w:eastAsiaTheme="minorEastAsia" w:hAnsiTheme="minorEastAsia" w:hint="eastAsia"/>
          <w:sz w:val="24"/>
        </w:rPr>
        <w:t>10</w:t>
      </w:r>
      <w:r>
        <w:rPr>
          <w:rFonts w:asciiTheme="minorEastAsia" w:eastAsiaTheme="minorEastAsia" w:hAnsiTheme="minorEastAsia" w:hint="eastAsia"/>
          <w:sz w:val="24"/>
        </w:rPr>
        <w:t>日至</w:t>
      </w:r>
      <w:r>
        <w:rPr>
          <w:rFonts w:asciiTheme="minorEastAsia" w:eastAsiaTheme="minorEastAsia" w:hAnsiTheme="minorEastAsia" w:hint="eastAsia"/>
          <w:sz w:val="24"/>
        </w:rPr>
        <w:t>11</w:t>
      </w:r>
      <w:r>
        <w:rPr>
          <w:rFonts w:asciiTheme="minorEastAsia" w:eastAsiaTheme="minorEastAsia" w:hAnsiTheme="minorEastAsia" w:hint="eastAsia"/>
          <w:sz w:val="24"/>
        </w:rPr>
        <w:t>日，</w:t>
      </w:r>
      <w:r>
        <w:rPr>
          <w:rFonts w:asciiTheme="minorEastAsia" w:eastAsiaTheme="minorEastAsia" w:hAnsiTheme="minorEastAsia" w:hint="eastAsia"/>
          <w:sz w:val="24"/>
        </w:rPr>
        <w:t>邀请行业内专家及规范主要使用者召开讨论会，根据会议意见对规范草稿进行修订，形成征求意见稿。</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下一步工作安排：</w:t>
      </w:r>
      <w:r>
        <w:rPr>
          <w:rFonts w:asciiTheme="minorEastAsia" w:eastAsiaTheme="minorEastAsia" w:hAnsiTheme="minorEastAsia" w:hint="eastAsia"/>
          <w:sz w:val="24"/>
        </w:rPr>
        <w:t>规范的征求意见稿通过网站公示、电子邮件、微信等方式向航空零件制造、使用企业、检验检测机构、计量机构、高校、研究机构进行了广泛而全面的意见征集工作</w:t>
      </w:r>
      <w:r>
        <w:rPr>
          <w:rFonts w:asciiTheme="minorEastAsia" w:eastAsiaTheme="minorEastAsia" w:hAnsiTheme="minorEastAsia" w:hint="eastAsia"/>
          <w:sz w:val="24"/>
        </w:rPr>
        <w:t>，</w:t>
      </w:r>
      <w:r>
        <w:rPr>
          <w:rFonts w:asciiTheme="minorEastAsia" w:eastAsiaTheme="minorEastAsia" w:hAnsiTheme="minorEastAsia" w:hint="eastAsia"/>
          <w:sz w:val="24"/>
        </w:rPr>
        <w:t>并根据征求意见情况进行修改，形成送审稿</w:t>
      </w:r>
      <w:r>
        <w:rPr>
          <w:rFonts w:asciiTheme="minorEastAsia" w:eastAsiaTheme="minorEastAsia" w:hAnsiTheme="minorEastAsia" w:hint="eastAsia"/>
          <w:sz w:val="24"/>
        </w:rPr>
        <w:t>。</w:t>
      </w:r>
    </w:p>
    <w:p w:rsidR="005F266A" w:rsidRDefault="00D768AD">
      <w:pPr>
        <w:pStyle w:val="1"/>
        <w:spacing w:before="120" w:after="120" w:line="240" w:lineRule="auto"/>
        <w:rPr>
          <w:rFonts w:ascii="黑体" w:eastAsia="黑体" w:hAnsi="黑体" w:cs="黑体"/>
          <w:sz w:val="32"/>
          <w:szCs w:val="32"/>
        </w:rPr>
      </w:pPr>
      <w:r>
        <w:rPr>
          <w:rFonts w:ascii="黑体" w:eastAsia="黑体" w:hAnsi="黑体" w:cs="黑体" w:hint="eastAsia"/>
          <w:sz w:val="32"/>
          <w:szCs w:val="32"/>
        </w:rPr>
        <w:t xml:space="preserve">2 </w:t>
      </w:r>
      <w:r>
        <w:rPr>
          <w:rFonts w:ascii="黑体" w:eastAsia="黑体" w:hAnsi="黑体" w:cs="黑体" w:hint="eastAsia"/>
          <w:sz w:val="32"/>
          <w:szCs w:val="32"/>
        </w:rPr>
        <w:t>编制原则、主要内容及其确定依据</w:t>
      </w:r>
    </w:p>
    <w:p w:rsidR="005F266A" w:rsidRDefault="00D768AD">
      <w:pPr>
        <w:pStyle w:val="3"/>
        <w:spacing w:before="120" w:after="120" w:line="240" w:lineRule="auto"/>
        <w:rPr>
          <w:rFonts w:ascii="黑体" w:eastAsia="黑体" w:hAnsi="黑体" w:cs="黑体"/>
          <w:sz w:val="28"/>
          <w:szCs w:val="28"/>
        </w:rPr>
      </w:pPr>
      <w:r>
        <w:rPr>
          <w:rFonts w:ascii="黑体" w:eastAsia="黑体" w:hAnsi="黑体" w:cs="黑体" w:hint="eastAsia"/>
          <w:sz w:val="28"/>
          <w:szCs w:val="28"/>
        </w:rPr>
        <w:t xml:space="preserve">2.1 </w:t>
      </w:r>
      <w:r>
        <w:rPr>
          <w:rFonts w:ascii="黑体" w:eastAsia="黑体" w:hAnsi="黑体" w:cs="黑体" w:hint="eastAsia"/>
          <w:sz w:val="28"/>
          <w:szCs w:val="28"/>
        </w:rPr>
        <w:t>编制原则</w:t>
      </w:r>
    </w:p>
    <w:p w:rsidR="005F266A" w:rsidRDefault="00D768AD">
      <w:pPr>
        <w:spacing w:line="360" w:lineRule="auto"/>
        <w:ind w:firstLineChars="163" w:firstLine="391"/>
        <w:jc w:val="left"/>
        <w:rPr>
          <w:rFonts w:asciiTheme="minorEastAsia" w:eastAsiaTheme="minorEastAsia" w:hAnsiTheme="minorEastAsia"/>
          <w:sz w:val="24"/>
        </w:rPr>
      </w:pPr>
      <w:bookmarkStart w:id="1" w:name="_Toc467502555"/>
      <w:bookmarkStart w:id="2" w:name="_Toc467501336"/>
      <w:bookmarkStart w:id="3" w:name="_Toc467501241"/>
      <w:bookmarkStart w:id="4" w:name="_Toc467499255"/>
      <w:r>
        <w:rPr>
          <w:rFonts w:asciiTheme="minorEastAsia" w:eastAsiaTheme="minorEastAsia" w:hAnsiTheme="minorEastAsia" w:hint="eastAsia"/>
          <w:sz w:val="24"/>
        </w:rPr>
        <w:t>本规范在结构编写和内容编排等方面依据</w:t>
      </w:r>
      <w:r>
        <w:rPr>
          <w:rFonts w:asciiTheme="minorEastAsia" w:eastAsiaTheme="minorEastAsia" w:hAnsiTheme="minorEastAsia" w:hint="eastAsia"/>
          <w:sz w:val="24"/>
        </w:rPr>
        <w:t>JJF 1071-2010</w:t>
      </w:r>
      <w:r>
        <w:rPr>
          <w:rFonts w:asciiTheme="minorEastAsia" w:eastAsiaTheme="minorEastAsia" w:hAnsiTheme="minorEastAsia" w:hint="eastAsia"/>
          <w:sz w:val="24"/>
        </w:rPr>
        <w:t>《国家计量校准规范编写规则》、</w:t>
      </w:r>
      <w:r>
        <w:rPr>
          <w:rFonts w:asciiTheme="minorEastAsia" w:eastAsiaTheme="minorEastAsia" w:hAnsiTheme="minorEastAsia" w:hint="eastAsia"/>
          <w:sz w:val="24"/>
        </w:rPr>
        <w:t>JJF 1001-2011</w:t>
      </w:r>
      <w:r>
        <w:rPr>
          <w:rFonts w:asciiTheme="minorEastAsia" w:eastAsiaTheme="minorEastAsia" w:hAnsiTheme="minorEastAsia" w:hint="eastAsia"/>
          <w:sz w:val="24"/>
        </w:rPr>
        <w:t>《通用计量术语及定义》、</w:t>
      </w:r>
      <w:r>
        <w:rPr>
          <w:rFonts w:asciiTheme="minorEastAsia" w:eastAsiaTheme="minorEastAsia" w:hAnsiTheme="minorEastAsia" w:hint="eastAsia"/>
          <w:sz w:val="24"/>
        </w:rPr>
        <w:t>JJF 1059.1-2012</w:t>
      </w:r>
      <w:r>
        <w:rPr>
          <w:rFonts w:asciiTheme="minorEastAsia" w:eastAsiaTheme="minorEastAsia" w:hAnsiTheme="minorEastAsia" w:hint="eastAsia"/>
          <w:sz w:val="24"/>
        </w:rPr>
        <w:t>《测</w:t>
      </w:r>
      <w:r>
        <w:rPr>
          <w:rFonts w:asciiTheme="minorEastAsia" w:eastAsiaTheme="minorEastAsia" w:hAnsiTheme="minorEastAsia" w:hint="eastAsia"/>
          <w:sz w:val="24"/>
        </w:rPr>
        <w:lastRenderedPageBreak/>
        <w:t>量不确定度评定与表示》进行编写。在规范编制过程中，重点遵循以下原则：</w:t>
      </w:r>
    </w:p>
    <w:p w:rsidR="005F266A" w:rsidRDefault="00D768AD">
      <w:pPr>
        <w:numPr>
          <w:ilvl w:val="0"/>
          <w:numId w:val="7"/>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一致性原则：对编制过程中所涉及的相关国际、国内计量技术规范、标准文件进行分析研究，保持与已发布国家计量技术规范的一致性</w:t>
      </w:r>
      <w:r>
        <w:rPr>
          <w:rFonts w:asciiTheme="minorEastAsia" w:eastAsiaTheme="minorEastAsia" w:hAnsiTheme="minorEastAsia" w:hint="eastAsia"/>
          <w:sz w:val="24"/>
        </w:rPr>
        <w:t>；</w:t>
      </w:r>
    </w:p>
    <w:p w:rsidR="005F266A" w:rsidRDefault="00D768AD">
      <w:pPr>
        <w:numPr>
          <w:ilvl w:val="0"/>
          <w:numId w:val="7"/>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科学性原则：充分体现技术内容支撑，保证技术内容的科学性和准确性</w:t>
      </w:r>
      <w:r>
        <w:rPr>
          <w:rFonts w:asciiTheme="minorEastAsia" w:eastAsiaTheme="minorEastAsia" w:hAnsiTheme="minorEastAsia" w:hint="eastAsia"/>
          <w:sz w:val="24"/>
        </w:rPr>
        <w:t>；</w:t>
      </w:r>
    </w:p>
    <w:p w:rsidR="005F266A" w:rsidRDefault="00D768AD">
      <w:pPr>
        <w:numPr>
          <w:ilvl w:val="0"/>
          <w:numId w:val="7"/>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可操作性原则：结合我国航空制造业发展的实际情况，力求具有指导性和可操</w:t>
      </w:r>
      <w:r>
        <w:rPr>
          <w:rFonts w:asciiTheme="minorEastAsia" w:eastAsiaTheme="minorEastAsia" w:hAnsiTheme="minorEastAsia" w:hint="eastAsia"/>
          <w:sz w:val="24"/>
        </w:rPr>
        <w:t>作性</w:t>
      </w:r>
      <w:r>
        <w:rPr>
          <w:rFonts w:asciiTheme="minorEastAsia" w:eastAsiaTheme="minorEastAsia" w:hAnsiTheme="minorEastAsia" w:hint="eastAsia"/>
          <w:sz w:val="24"/>
        </w:rPr>
        <w:t>；</w:t>
      </w:r>
    </w:p>
    <w:p w:rsidR="005F266A" w:rsidRDefault="00D768AD">
      <w:pPr>
        <w:numPr>
          <w:ilvl w:val="0"/>
          <w:numId w:val="7"/>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简易性原则：规范内容和技术表述</w:t>
      </w:r>
      <w:r>
        <w:rPr>
          <w:rFonts w:asciiTheme="minorEastAsia" w:eastAsiaTheme="minorEastAsia" w:hAnsiTheme="minorEastAsia" w:hint="eastAsia"/>
          <w:sz w:val="24"/>
        </w:rPr>
        <w:t>简洁</w:t>
      </w:r>
      <w:r>
        <w:rPr>
          <w:rFonts w:asciiTheme="minorEastAsia" w:eastAsiaTheme="minorEastAsia" w:hAnsiTheme="minorEastAsia" w:hint="eastAsia"/>
          <w:sz w:val="24"/>
        </w:rPr>
        <w:t>易懂，且在实际应用中无歧义。</w:t>
      </w:r>
    </w:p>
    <w:bookmarkEnd w:id="1"/>
    <w:bookmarkEnd w:id="2"/>
    <w:bookmarkEnd w:id="3"/>
    <w:bookmarkEnd w:id="4"/>
    <w:p w:rsidR="005F266A" w:rsidRDefault="00D768AD">
      <w:pPr>
        <w:pStyle w:val="3"/>
        <w:spacing w:before="120" w:after="120" w:line="240" w:lineRule="auto"/>
        <w:rPr>
          <w:rFonts w:ascii="黑体" w:eastAsia="黑体" w:hAnsi="黑体" w:cs="黑体"/>
          <w:sz w:val="28"/>
          <w:szCs w:val="28"/>
        </w:rPr>
      </w:pPr>
      <w:r>
        <w:rPr>
          <w:rFonts w:ascii="黑体" w:eastAsia="黑体" w:hAnsi="黑体" w:cs="黑体" w:hint="eastAsia"/>
          <w:sz w:val="28"/>
          <w:szCs w:val="28"/>
        </w:rPr>
        <w:t xml:space="preserve">2.2 </w:t>
      </w:r>
      <w:r>
        <w:rPr>
          <w:rFonts w:ascii="黑体" w:eastAsia="黑体" w:hAnsi="黑体" w:cs="黑体" w:hint="eastAsia"/>
          <w:sz w:val="28"/>
          <w:szCs w:val="28"/>
        </w:rPr>
        <w:t>规范主要内容及其确定依据</w:t>
      </w:r>
    </w:p>
    <w:p w:rsidR="005F266A" w:rsidRDefault="00D768AD">
      <w:pPr>
        <w:pStyle w:val="4"/>
        <w:spacing w:before="120" w:after="120" w:line="240" w:lineRule="auto"/>
        <w:rPr>
          <w:sz w:val="24"/>
        </w:rPr>
      </w:pPr>
      <w:r>
        <w:rPr>
          <w:rFonts w:hint="eastAsia"/>
          <w:sz w:val="24"/>
        </w:rPr>
        <w:t xml:space="preserve">2.2.1 </w:t>
      </w:r>
      <w:r>
        <w:rPr>
          <w:rFonts w:hint="eastAsia"/>
          <w:sz w:val="24"/>
        </w:rPr>
        <w:t>适用范围</w:t>
      </w:r>
    </w:p>
    <w:p w:rsidR="005F266A" w:rsidRDefault="00D768AD">
      <w:pPr>
        <w:spacing w:line="360" w:lineRule="auto"/>
        <w:ind w:firstLineChars="163" w:firstLine="391"/>
        <w:jc w:val="left"/>
        <w:rPr>
          <w:rFonts w:asciiTheme="minorEastAsia" w:eastAsiaTheme="minorEastAsia" w:hAnsiTheme="minorEastAsia"/>
          <w:sz w:val="24"/>
        </w:rPr>
      </w:pPr>
      <w:bookmarkStart w:id="5" w:name="_Hlk102997618"/>
      <w:r>
        <w:rPr>
          <w:rFonts w:asciiTheme="minorEastAsia" w:eastAsiaTheme="minorEastAsia" w:hAnsiTheme="minorEastAsia" w:hint="eastAsia"/>
          <w:sz w:val="24"/>
        </w:rPr>
        <w:t>本规范给出了依据航空工件几何参数的测量结果，按工件给定的公差限或最大允许误差，验证其特性合格或不合格的判定规则。</w:t>
      </w:r>
    </w:p>
    <w:p w:rsidR="005F266A" w:rsidRDefault="00D768AD">
      <w:pPr>
        <w:spacing w:line="360" w:lineRule="auto"/>
        <w:ind w:firstLineChars="163" w:firstLine="391"/>
        <w:jc w:val="left"/>
        <w:rPr>
          <w:rFonts w:eastAsia="仿宋_GB2312"/>
          <w:sz w:val="28"/>
          <w:szCs w:val="28"/>
        </w:rPr>
      </w:pPr>
      <w:r>
        <w:rPr>
          <w:rFonts w:asciiTheme="minorEastAsia" w:eastAsiaTheme="minorEastAsia" w:hAnsiTheme="minorEastAsia" w:hint="eastAsia"/>
          <w:sz w:val="24"/>
        </w:rPr>
        <w:t>本规范适用于航空工件几何参数测量结果的符合性判定规则。</w:t>
      </w:r>
    </w:p>
    <w:p w:rsidR="005F266A" w:rsidRDefault="00D768AD">
      <w:pPr>
        <w:pStyle w:val="4"/>
        <w:spacing w:before="120" w:after="120" w:line="240" w:lineRule="auto"/>
        <w:rPr>
          <w:sz w:val="24"/>
        </w:rPr>
      </w:pPr>
      <w:r>
        <w:rPr>
          <w:rFonts w:hint="eastAsia"/>
          <w:sz w:val="24"/>
        </w:rPr>
        <w:t xml:space="preserve">2.2.2 </w:t>
      </w:r>
      <w:r>
        <w:rPr>
          <w:rFonts w:hint="eastAsia"/>
          <w:sz w:val="24"/>
        </w:rPr>
        <w:t>引用文件</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本规范引用了下列文件：</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JJF 1001-2011 </w:t>
      </w:r>
      <w:r>
        <w:rPr>
          <w:rFonts w:asciiTheme="minorEastAsia" w:eastAsiaTheme="minorEastAsia" w:hAnsiTheme="minorEastAsia" w:hint="eastAsia"/>
          <w:sz w:val="24"/>
        </w:rPr>
        <w:t>通用计量术语及定义；</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JJF 1094—2002 </w:t>
      </w:r>
      <w:r>
        <w:rPr>
          <w:rFonts w:asciiTheme="minorEastAsia" w:eastAsiaTheme="minorEastAsia" w:hAnsiTheme="minorEastAsia"/>
          <w:sz w:val="24"/>
        </w:rPr>
        <w:t>测量仪器特性评定</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JJF 1130—2005 </w:t>
      </w:r>
      <w:r>
        <w:rPr>
          <w:rFonts w:asciiTheme="minorEastAsia" w:eastAsiaTheme="minorEastAsia" w:hAnsiTheme="minorEastAsia"/>
          <w:sz w:val="24"/>
        </w:rPr>
        <w:t>几何量测量设备校准中的不确定度评定指南</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GB/T </w:t>
      </w:r>
      <w:r>
        <w:rPr>
          <w:rFonts w:asciiTheme="minorEastAsia" w:eastAsiaTheme="minorEastAsia" w:hAnsiTheme="minorEastAsia"/>
          <w:sz w:val="24"/>
        </w:rPr>
        <w:t>1958</w:t>
      </w:r>
      <w:r>
        <w:rPr>
          <w:rFonts w:asciiTheme="minorEastAsia" w:eastAsiaTheme="minorEastAsia" w:hAnsiTheme="minorEastAsia"/>
          <w:sz w:val="24"/>
        </w:rPr>
        <w:t>—</w:t>
      </w:r>
      <w:r>
        <w:rPr>
          <w:rFonts w:asciiTheme="minorEastAsia" w:eastAsiaTheme="minorEastAsia" w:hAnsiTheme="minorEastAsia"/>
          <w:sz w:val="24"/>
        </w:rPr>
        <w:t xml:space="preserve">2017 </w:t>
      </w:r>
      <w:r>
        <w:rPr>
          <w:rFonts w:asciiTheme="minorEastAsia" w:eastAsiaTheme="minorEastAsia" w:hAnsiTheme="minorEastAsia"/>
          <w:sz w:val="24"/>
        </w:rPr>
        <w:t>产品几何技术规范（</w:t>
      </w:r>
      <w:r>
        <w:rPr>
          <w:rFonts w:asciiTheme="minorEastAsia" w:eastAsiaTheme="minorEastAsia" w:hAnsiTheme="minorEastAsia"/>
          <w:sz w:val="24"/>
        </w:rPr>
        <w:t>GPS</w:t>
      </w:r>
      <w:r>
        <w:rPr>
          <w:rFonts w:asciiTheme="minorEastAsia" w:eastAsiaTheme="minorEastAsia" w:hAnsiTheme="minorEastAsia"/>
          <w:sz w:val="24"/>
        </w:rPr>
        <w:t>）</w:t>
      </w:r>
      <w:r>
        <w:rPr>
          <w:rFonts w:asciiTheme="minorEastAsia" w:eastAsiaTheme="minorEastAsia" w:hAnsiTheme="minorEastAsia"/>
          <w:sz w:val="24"/>
        </w:rPr>
        <w:t xml:space="preserve"> </w:t>
      </w:r>
      <w:r>
        <w:rPr>
          <w:rFonts w:asciiTheme="minorEastAsia" w:eastAsiaTheme="minorEastAsia" w:hAnsiTheme="minorEastAsia"/>
          <w:sz w:val="24"/>
        </w:rPr>
        <w:t>几何公差</w:t>
      </w:r>
      <w:r>
        <w:rPr>
          <w:rFonts w:asciiTheme="minorEastAsia" w:eastAsiaTheme="minorEastAsia" w:hAnsiTheme="minorEastAsia"/>
          <w:sz w:val="24"/>
        </w:rPr>
        <w:t xml:space="preserve"> </w:t>
      </w:r>
      <w:r>
        <w:rPr>
          <w:rFonts w:asciiTheme="minorEastAsia" w:eastAsiaTheme="minorEastAsia" w:hAnsiTheme="minorEastAsia"/>
          <w:sz w:val="24"/>
        </w:rPr>
        <w:t>检测与验证</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GB/T </w:t>
      </w:r>
      <w:r>
        <w:rPr>
          <w:rFonts w:asciiTheme="minorEastAsia" w:eastAsiaTheme="minorEastAsia" w:hAnsiTheme="minorEastAsia"/>
          <w:sz w:val="24"/>
        </w:rPr>
        <w:t>3177</w:t>
      </w:r>
      <w:r>
        <w:rPr>
          <w:rFonts w:asciiTheme="minorEastAsia" w:eastAsiaTheme="minorEastAsia" w:hAnsiTheme="minorEastAsia"/>
          <w:sz w:val="24"/>
        </w:rPr>
        <w:t>—20</w:t>
      </w:r>
      <w:r>
        <w:rPr>
          <w:rFonts w:asciiTheme="minorEastAsia" w:eastAsiaTheme="minorEastAsia" w:hAnsiTheme="minorEastAsia"/>
          <w:sz w:val="24"/>
        </w:rPr>
        <w:t xml:space="preserve">09 </w:t>
      </w:r>
      <w:r>
        <w:rPr>
          <w:rFonts w:asciiTheme="minorEastAsia" w:eastAsiaTheme="minorEastAsia" w:hAnsiTheme="minorEastAsia"/>
          <w:sz w:val="24"/>
        </w:rPr>
        <w:t>产品几何技术规范（</w:t>
      </w:r>
      <w:r>
        <w:rPr>
          <w:rFonts w:asciiTheme="minorEastAsia" w:eastAsiaTheme="minorEastAsia" w:hAnsiTheme="minorEastAsia"/>
          <w:sz w:val="24"/>
        </w:rPr>
        <w:t>GPS</w:t>
      </w:r>
      <w:r>
        <w:rPr>
          <w:rFonts w:asciiTheme="minorEastAsia" w:eastAsiaTheme="minorEastAsia" w:hAnsiTheme="minorEastAsia"/>
          <w:sz w:val="24"/>
        </w:rPr>
        <w:t>）</w:t>
      </w:r>
      <w:r>
        <w:rPr>
          <w:rFonts w:asciiTheme="minorEastAsia" w:eastAsiaTheme="minorEastAsia" w:hAnsiTheme="minorEastAsia"/>
          <w:sz w:val="24"/>
        </w:rPr>
        <w:t xml:space="preserve"> </w:t>
      </w:r>
      <w:r>
        <w:rPr>
          <w:rFonts w:asciiTheme="minorEastAsia" w:eastAsiaTheme="minorEastAsia" w:hAnsiTheme="minorEastAsia"/>
          <w:sz w:val="24"/>
        </w:rPr>
        <w:t>光滑工件尺寸的检验</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GB/T </w:t>
      </w:r>
      <w:r>
        <w:rPr>
          <w:rFonts w:asciiTheme="minorEastAsia" w:eastAsiaTheme="minorEastAsia" w:hAnsiTheme="minorEastAsia"/>
          <w:sz w:val="24"/>
        </w:rPr>
        <w:t>3358.2</w:t>
      </w:r>
      <w:r>
        <w:rPr>
          <w:rFonts w:asciiTheme="minorEastAsia" w:eastAsiaTheme="minorEastAsia" w:hAnsiTheme="minorEastAsia"/>
          <w:sz w:val="24"/>
        </w:rPr>
        <w:t>—20</w:t>
      </w:r>
      <w:r>
        <w:rPr>
          <w:rFonts w:asciiTheme="minorEastAsia" w:eastAsiaTheme="minorEastAsia" w:hAnsiTheme="minorEastAsia"/>
          <w:sz w:val="24"/>
        </w:rPr>
        <w:t xml:space="preserve">09 </w:t>
      </w:r>
      <w:r>
        <w:rPr>
          <w:rFonts w:asciiTheme="minorEastAsia" w:eastAsiaTheme="minorEastAsia" w:hAnsiTheme="minorEastAsia"/>
          <w:sz w:val="24"/>
        </w:rPr>
        <w:t>统计学词汇及符号</w:t>
      </w:r>
      <w:r>
        <w:rPr>
          <w:rFonts w:asciiTheme="minorEastAsia" w:eastAsiaTheme="minorEastAsia" w:hAnsiTheme="minorEastAsia"/>
          <w:sz w:val="24"/>
        </w:rPr>
        <w:t xml:space="preserve"> </w:t>
      </w:r>
      <w:r>
        <w:rPr>
          <w:rFonts w:asciiTheme="minorEastAsia" w:eastAsiaTheme="minorEastAsia" w:hAnsiTheme="minorEastAsia"/>
          <w:sz w:val="24"/>
        </w:rPr>
        <w:t>第</w:t>
      </w:r>
      <w:r>
        <w:rPr>
          <w:rFonts w:asciiTheme="minorEastAsia" w:eastAsiaTheme="minorEastAsia" w:hAnsiTheme="minorEastAsia"/>
          <w:sz w:val="24"/>
        </w:rPr>
        <w:t>2</w:t>
      </w:r>
      <w:r>
        <w:rPr>
          <w:rFonts w:asciiTheme="minorEastAsia" w:eastAsiaTheme="minorEastAsia" w:hAnsiTheme="minorEastAsia"/>
          <w:sz w:val="24"/>
        </w:rPr>
        <w:t>部分：应用统计</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GB/T </w:t>
      </w:r>
      <w:r>
        <w:rPr>
          <w:rFonts w:asciiTheme="minorEastAsia" w:eastAsiaTheme="minorEastAsia" w:hAnsiTheme="minorEastAsia"/>
          <w:sz w:val="24"/>
        </w:rPr>
        <w:t>4249</w:t>
      </w:r>
      <w:r>
        <w:rPr>
          <w:rFonts w:asciiTheme="minorEastAsia" w:eastAsiaTheme="minorEastAsia" w:hAnsiTheme="minorEastAsia"/>
          <w:sz w:val="24"/>
        </w:rPr>
        <w:t>—20</w:t>
      </w:r>
      <w:r>
        <w:rPr>
          <w:rFonts w:asciiTheme="minorEastAsia" w:eastAsiaTheme="minorEastAsia" w:hAnsiTheme="minorEastAsia"/>
          <w:sz w:val="24"/>
        </w:rPr>
        <w:t xml:space="preserve">18 </w:t>
      </w:r>
      <w:r>
        <w:rPr>
          <w:rFonts w:asciiTheme="minorEastAsia" w:eastAsiaTheme="minorEastAsia" w:hAnsiTheme="minorEastAsia"/>
          <w:sz w:val="24"/>
        </w:rPr>
        <w:t>产品几何技术规范（</w:t>
      </w:r>
      <w:r>
        <w:rPr>
          <w:rFonts w:asciiTheme="minorEastAsia" w:eastAsiaTheme="minorEastAsia" w:hAnsiTheme="minorEastAsia"/>
          <w:sz w:val="24"/>
        </w:rPr>
        <w:t>GPS</w:t>
      </w:r>
      <w:r>
        <w:rPr>
          <w:rFonts w:asciiTheme="minorEastAsia" w:eastAsiaTheme="minorEastAsia" w:hAnsiTheme="minorEastAsia"/>
          <w:sz w:val="24"/>
        </w:rPr>
        <w:t>）</w:t>
      </w:r>
      <w:r>
        <w:rPr>
          <w:rFonts w:asciiTheme="minorEastAsia" w:eastAsiaTheme="minorEastAsia" w:hAnsiTheme="minorEastAsia"/>
          <w:sz w:val="24"/>
        </w:rPr>
        <w:t xml:space="preserve"> </w:t>
      </w:r>
      <w:r>
        <w:rPr>
          <w:rFonts w:asciiTheme="minorEastAsia" w:eastAsiaTheme="minorEastAsia" w:hAnsiTheme="minorEastAsia"/>
          <w:sz w:val="24"/>
        </w:rPr>
        <w:t>基础</w:t>
      </w:r>
      <w:r>
        <w:rPr>
          <w:rFonts w:asciiTheme="minorEastAsia" w:eastAsiaTheme="minorEastAsia" w:hAnsiTheme="minorEastAsia"/>
          <w:sz w:val="24"/>
        </w:rPr>
        <w:t xml:space="preserve"> </w:t>
      </w:r>
      <w:r>
        <w:rPr>
          <w:rFonts w:asciiTheme="minorEastAsia" w:eastAsiaTheme="minorEastAsia" w:hAnsiTheme="minorEastAsia"/>
          <w:sz w:val="24"/>
        </w:rPr>
        <w:t>概念、原则和规则</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GB/T 18779.</w:t>
      </w:r>
      <w:r>
        <w:rPr>
          <w:rFonts w:asciiTheme="minorEastAsia" w:eastAsiaTheme="minorEastAsia" w:hAnsiTheme="minorEastAsia"/>
          <w:sz w:val="24"/>
        </w:rPr>
        <w:t>1</w:t>
      </w:r>
      <w:r>
        <w:rPr>
          <w:rFonts w:asciiTheme="minorEastAsia" w:eastAsiaTheme="minorEastAsia" w:hAnsiTheme="minorEastAsia"/>
          <w:sz w:val="24"/>
        </w:rPr>
        <w:t>—202</w:t>
      </w:r>
      <w:r>
        <w:rPr>
          <w:rFonts w:asciiTheme="minorEastAsia" w:eastAsiaTheme="minorEastAsia" w:hAnsiTheme="minorEastAsia"/>
          <w:sz w:val="24"/>
        </w:rPr>
        <w:t xml:space="preserve">2 </w:t>
      </w:r>
      <w:r>
        <w:rPr>
          <w:rFonts w:asciiTheme="minorEastAsia" w:eastAsiaTheme="minorEastAsia" w:hAnsiTheme="minorEastAsia"/>
          <w:sz w:val="24"/>
        </w:rPr>
        <w:t>产品几何技术规范（</w:t>
      </w:r>
      <w:r>
        <w:rPr>
          <w:rFonts w:asciiTheme="minorEastAsia" w:eastAsiaTheme="minorEastAsia" w:hAnsiTheme="minorEastAsia"/>
          <w:sz w:val="24"/>
        </w:rPr>
        <w:t>GPS</w:t>
      </w:r>
      <w:r>
        <w:rPr>
          <w:rFonts w:asciiTheme="minorEastAsia" w:eastAsiaTheme="minorEastAsia" w:hAnsiTheme="minorEastAsia"/>
          <w:sz w:val="24"/>
        </w:rPr>
        <w:t>）</w:t>
      </w:r>
      <w:r>
        <w:rPr>
          <w:rFonts w:asciiTheme="minorEastAsia" w:eastAsiaTheme="minorEastAsia" w:hAnsiTheme="minorEastAsia"/>
          <w:sz w:val="24"/>
        </w:rPr>
        <w:t xml:space="preserve"> </w:t>
      </w:r>
      <w:r>
        <w:rPr>
          <w:rFonts w:asciiTheme="minorEastAsia" w:eastAsiaTheme="minorEastAsia" w:hAnsiTheme="minorEastAsia"/>
          <w:sz w:val="24"/>
        </w:rPr>
        <w:t>工件与测量设备的测量检验</w:t>
      </w:r>
      <w:r>
        <w:rPr>
          <w:rFonts w:asciiTheme="minorEastAsia" w:eastAsiaTheme="minorEastAsia" w:hAnsiTheme="minorEastAsia"/>
          <w:sz w:val="24"/>
        </w:rPr>
        <w:t xml:space="preserve"> </w:t>
      </w:r>
      <w:r>
        <w:rPr>
          <w:rFonts w:asciiTheme="minorEastAsia" w:eastAsiaTheme="minorEastAsia" w:hAnsiTheme="minorEastAsia"/>
          <w:sz w:val="24"/>
        </w:rPr>
        <w:t>第</w:t>
      </w:r>
      <w:r>
        <w:rPr>
          <w:rFonts w:asciiTheme="minorEastAsia" w:eastAsiaTheme="minorEastAsia" w:hAnsiTheme="minorEastAsia"/>
          <w:sz w:val="24"/>
        </w:rPr>
        <w:t>1</w:t>
      </w:r>
      <w:r>
        <w:rPr>
          <w:rFonts w:asciiTheme="minorEastAsia" w:eastAsiaTheme="minorEastAsia" w:hAnsiTheme="minorEastAsia"/>
          <w:sz w:val="24"/>
        </w:rPr>
        <w:t>部分：</w:t>
      </w:r>
      <w:r>
        <w:rPr>
          <w:rFonts w:asciiTheme="minorEastAsia" w:eastAsiaTheme="minorEastAsia" w:hAnsiTheme="minorEastAsia"/>
          <w:sz w:val="24"/>
        </w:rPr>
        <w:t>按规范验证合格或不合格的判定规则</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GB/T 18779.4—2020 </w:t>
      </w:r>
      <w:r>
        <w:rPr>
          <w:rFonts w:asciiTheme="minorEastAsia" w:eastAsiaTheme="minorEastAsia" w:hAnsiTheme="minorEastAsia"/>
          <w:sz w:val="24"/>
        </w:rPr>
        <w:t>产品几何技术规范（</w:t>
      </w:r>
      <w:r>
        <w:rPr>
          <w:rFonts w:asciiTheme="minorEastAsia" w:eastAsiaTheme="minorEastAsia" w:hAnsiTheme="minorEastAsia"/>
          <w:sz w:val="24"/>
        </w:rPr>
        <w:t>GPS</w:t>
      </w:r>
      <w:r>
        <w:rPr>
          <w:rFonts w:asciiTheme="minorEastAsia" w:eastAsiaTheme="minorEastAsia" w:hAnsiTheme="minorEastAsia"/>
          <w:sz w:val="24"/>
        </w:rPr>
        <w:t>）</w:t>
      </w:r>
      <w:r>
        <w:rPr>
          <w:rFonts w:asciiTheme="minorEastAsia" w:eastAsiaTheme="minorEastAsia" w:hAnsiTheme="minorEastAsia"/>
          <w:sz w:val="24"/>
        </w:rPr>
        <w:t xml:space="preserve"> </w:t>
      </w:r>
      <w:r>
        <w:rPr>
          <w:rFonts w:asciiTheme="minorEastAsia" w:eastAsiaTheme="minorEastAsia" w:hAnsiTheme="minorEastAsia"/>
          <w:sz w:val="24"/>
        </w:rPr>
        <w:t>工件与测量设备的测量检验</w:t>
      </w:r>
      <w:r>
        <w:rPr>
          <w:rFonts w:asciiTheme="minorEastAsia" w:eastAsiaTheme="minorEastAsia" w:hAnsiTheme="minorEastAsia"/>
          <w:sz w:val="24"/>
        </w:rPr>
        <w:t xml:space="preserve">  </w:t>
      </w:r>
      <w:r>
        <w:rPr>
          <w:rFonts w:asciiTheme="minorEastAsia" w:eastAsiaTheme="minorEastAsia" w:hAnsiTheme="minorEastAsia"/>
          <w:sz w:val="24"/>
        </w:rPr>
        <w:t>第</w:t>
      </w:r>
      <w:r>
        <w:rPr>
          <w:rFonts w:asciiTheme="minorEastAsia" w:eastAsiaTheme="minorEastAsia" w:hAnsiTheme="minorEastAsia"/>
          <w:sz w:val="24"/>
        </w:rPr>
        <w:t>4</w:t>
      </w:r>
      <w:r>
        <w:rPr>
          <w:rFonts w:asciiTheme="minorEastAsia" w:eastAsiaTheme="minorEastAsia" w:hAnsiTheme="minorEastAsia"/>
          <w:sz w:val="24"/>
        </w:rPr>
        <w:t>部分：判定规则中功能限与规范限的基础</w:t>
      </w:r>
      <w:r>
        <w:rPr>
          <w:rFonts w:asciiTheme="minorEastAsia" w:eastAsiaTheme="minorEastAsia" w:hAnsiTheme="minorEastAsia" w:hint="eastAsia"/>
          <w:sz w:val="24"/>
        </w:rPr>
        <w:t>；</w:t>
      </w:r>
      <w:r>
        <w:rPr>
          <w:rFonts w:asciiTheme="minorEastAsia" w:eastAsiaTheme="minorEastAsia" w:hAnsiTheme="minorEastAsia"/>
          <w:sz w:val="24"/>
        </w:rPr>
        <w:t xml:space="preserve"> </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GB/T 18779.6—2020  </w:t>
      </w:r>
      <w:r>
        <w:rPr>
          <w:rFonts w:asciiTheme="minorEastAsia" w:eastAsiaTheme="minorEastAsia" w:hAnsiTheme="minorEastAsia"/>
          <w:sz w:val="24"/>
        </w:rPr>
        <w:t>产品几何技术规范</w:t>
      </w:r>
      <w:r>
        <w:rPr>
          <w:rFonts w:asciiTheme="minorEastAsia" w:eastAsiaTheme="minorEastAsia" w:hAnsiTheme="minorEastAsia"/>
          <w:sz w:val="24"/>
        </w:rPr>
        <w:t>( GPS</w:t>
      </w:r>
      <w:r>
        <w:rPr>
          <w:rFonts w:asciiTheme="minorEastAsia" w:eastAsiaTheme="minorEastAsia" w:hAnsiTheme="minorEastAsia" w:hint="eastAsia"/>
          <w:sz w:val="24"/>
        </w:rPr>
        <w:t>）</w:t>
      </w:r>
      <w:r>
        <w:rPr>
          <w:rFonts w:asciiTheme="minorEastAsia" w:eastAsiaTheme="minorEastAsia" w:hAnsiTheme="minorEastAsia"/>
          <w:sz w:val="24"/>
        </w:rPr>
        <w:t>工件与测量设备的测量检验</w:t>
      </w:r>
      <w:r>
        <w:rPr>
          <w:rFonts w:asciiTheme="minorEastAsia" w:eastAsiaTheme="minorEastAsia" w:hAnsiTheme="minorEastAsia"/>
          <w:sz w:val="24"/>
        </w:rPr>
        <w:t xml:space="preserve"> </w:t>
      </w:r>
      <w:r>
        <w:rPr>
          <w:rFonts w:asciiTheme="minorEastAsia" w:eastAsiaTheme="minorEastAsia" w:hAnsiTheme="minorEastAsia"/>
          <w:sz w:val="24"/>
        </w:rPr>
        <w:t>第</w:t>
      </w:r>
      <w:r>
        <w:rPr>
          <w:rFonts w:asciiTheme="minorEastAsia" w:eastAsiaTheme="minorEastAsia" w:hAnsiTheme="minorEastAsia"/>
          <w:sz w:val="24"/>
        </w:rPr>
        <w:t>6</w:t>
      </w:r>
      <w:r>
        <w:rPr>
          <w:rFonts w:asciiTheme="minorEastAsia" w:eastAsiaTheme="minorEastAsia" w:hAnsiTheme="minorEastAsia"/>
          <w:sz w:val="24"/>
        </w:rPr>
        <w:t>部分：仪器和工件</w:t>
      </w:r>
      <w:r>
        <w:rPr>
          <w:rFonts w:asciiTheme="minorEastAsia" w:eastAsiaTheme="minorEastAsia" w:hAnsiTheme="minorEastAsia" w:hint="eastAsia"/>
          <w:sz w:val="24"/>
        </w:rPr>
        <w:t>接受</w:t>
      </w:r>
      <w:r>
        <w:rPr>
          <w:rFonts w:asciiTheme="minorEastAsia" w:eastAsiaTheme="minorEastAsia" w:hAnsiTheme="minorEastAsia"/>
          <w:sz w:val="24"/>
        </w:rPr>
        <w:t>/</w:t>
      </w:r>
      <w:r>
        <w:rPr>
          <w:rFonts w:asciiTheme="minorEastAsia" w:eastAsiaTheme="minorEastAsia" w:hAnsiTheme="minorEastAsia"/>
          <w:sz w:val="24"/>
        </w:rPr>
        <w:t>拒收的通用判定规则</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sz w:val="24"/>
        </w:rPr>
        <w:t xml:space="preserve">GB/T 27430—2022 </w:t>
      </w:r>
      <w:r>
        <w:rPr>
          <w:rFonts w:asciiTheme="minorEastAsia" w:eastAsiaTheme="minorEastAsia" w:hAnsiTheme="minorEastAsia"/>
          <w:sz w:val="24"/>
        </w:rPr>
        <w:t>测量不确定度在合格评定中的作用</w:t>
      </w:r>
      <w:r>
        <w:rPr>
          <w:rFonts w:asciiTheme="minorEastAsia" w:eastAsiaTheme="minorEastAsia" w:hAnsiTheme="minorEastAsia" w:hint="eastAsia"/>
          <w:sz w:val="24"/>
        </w:rPr>
        <w:t>；</w:t>
      </w:r>
    </w:p>
    <w:p w:rsidR="005F266A" w:rsidRDefault="00D768AD">
      <w:pPr>
        <w:numPr>
          <w:ilvl w:val="0"/>
          <w:numId w:val="8"/>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GJB 5109A-2022</w:t>
      </w:r>
      <w:r>
        <w:rPr>
          <w:rFonts w:asciiTheme="minorEastAsia" w:eastAsiaTheme="minorEastAsia" w:hAnsiTheme="minorEastAsia" w:hint="eastAsia"/>
          <w:sz w:val="24"/>
        </w:rPr>
        <w:t>装备计量保障通用要求坚持和校准</w:t>
      </w:r>
      <w:r>
        <w:rPr>
          <w:rFonts w:asciiTheme="minorEastAsia" w:eastAsiaTheme="minorEastAsia" w:hAnsiTheme="minorEastAsia" w:hint="eastAsia"/>
          <w:sz w:val="24"/>
        </w:rPr>
        <w:t>。</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lastRenderedPageBreak/>
        <w:t>本规范</w:t>
      </w:r>
      <w:r>
        <w:rPr>
          <w:rFonts w:asciiTheme="minorEastAsia" w:eastAsiaTheme="minorEastAsia" w:hAnsiTheme="minorEastAsia" w:hint="eastAsia"/>
          <w:sz w:val="24"/>
        </w:rPr>
        <w:t>参考了以下文件：</w:t>
      </w:r>
    </w:p>
    <w:p w:rsidR="005F266A" w:rsidRDefault="00D768AD">
      <w:pPr>
        <w:numPr>
          <w:ilvl w:val="0"/>
          <w:numId w:val="9"/>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DB61/T 1327.10-2023 </w:t>
      </w:r>
      <w:r>
        <w:rPr>
          <w:rFonts w:asciiTheme="minorEastAsia" w:eastAsiaTheme="minorEastAsia" w:hAnsiTheme="minorEastAsia" w:hint="eastAsia"/>
          <w:sz w:val="24"/>
        </w:rPr>
        <w:t>实验室资质认定</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10</w:t>
      </w:r>
      <w:r>
        <w:rPr>
          <w:rFonts w:asciiTheme="minorEastAsia" w:eastAsiaTheme="minorEastAsia" w:hAnsiTheme="minorEastAsia" w:hint="eastAsia"/>
          <w:sz w:val="24"/>
        </w:rPr>
        <w:t>部分：测量不确定度在检测结果符合性判定中的应用指南</w:t>
      </w:r>
      <w:r>
        <w:rPr>
          <w:rFonts w:asciiTheme="minorEastAsia" w:eastAsiaTheme="minorEastAsia" w:hAnsiTheme="minorEastAsia" w:hint="eastAsia"/>
          <w:sz w:val="24"/>
        </w:rPr>
        <w:t>；</w:t>
      </w:r>
    </w:p>
    <w:p w:rsidR="005F266A" w:rsidRDefault="00D768AD">
      <w:pPr>
        <w:numPr>
          <w:ilvl w:val="0"/>
          <w:numId w:val="9"/>
        </w:num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C</w:t>
      </w:r>
      <w:r>
        <w:rPr>
          <w:rFonts w:asciiTheme="minorEastAsia" w:eastAsiaTheme="minorEastAsia" w:hAnsiTheme="minorEastAsia" w:hint="eastAsia"/>
          <w:sz w:val="24"/>
        </w:rPr>
        <w:t>CAR-21R4-</w:t>
      </w:r>
      <w:r>
        <w:rPr>
          <w:rFonts w:asciiTheme="minorEastAsia" w:eastAsiaTheme="minorEastAsia" w:hAnsiTheme="minorEastAsia" w:hint="eastAsia"/>
          <w:sz w:val="24"/>
        </w:rPr>
        <w:t xml:space="preserve">2024 </w:t>
      </w:r>
      <w:r>
        <w:rPr>
          <w:rFonts w:asciiTheme="minorEastAsia" w:eastAsiaTheme="minorEastAsia" w:hAnsiTheme="minorEastAsia" w:hint="eastAsia"/>
          <w:sz w:val="24"/>
        </w:rPr>
        <w:t>民用航空产品和零件合格审定的规定</w:t>
      </w:r>
      <w:r>
        <w:rPr>
          <w:rFonts w:asciiTheme="minorEastAsia" w:eastAsiaTheme="minorEastAsia" w:hAnsiTheme="minorEastAsia" w:hint="eastAsia"/>
          <w:sz w:val="24"/>
        </w:rPr>
        <w:t>。</w:t>
      </w:r>
    </w:p>
    <w:p w:rsidR="005F266A" w:rsidRDefault="00D768AD">
      <w:pPr>
        <w:pStyle w:val="4"/>
        <w:spacing w:before="120" w:after="120" w:line="240" w:lineRule="auto"/>
        <w:rPr>
          <w:sz w:val="24"/>
        </w:rPr>
      </w:pPr>
      <w:r>
        <w:rPr>
          <w:rFonts w:hint="eastAsia"/>
          <w:sz w:val="24"/>
        </w:rPr>
        <w:t xml:space="preserve">2.2.3 </w:t>
      </w:r>
      <w:r>
        <w:rPr>
          <w:rFonts w:hint="eastAsia"/>
          <w:sz w:val="24"/>
        </w:rPr>
        <w:t>术语和定义</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本规范术语与定义包括：合格、不合格、规范区、规范限、接收限、接收去、拒收区、待定区、保护带、二态判定规则、简单接收、</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严格接收、宽松接收、用户风险、生产者风险等。</w:t>
      </w:r>
      <w:bookmarkStart w:id="6" w:name="_Hlk102996869"/>
    </w:p>
    <w:p w:rsidR="005F266A" w:rsidRDefault="00D768AD">
      <w:pPr>
        <w:pStyle w:val="4"/>
        <w:spacing w:before="120" w:after="120" w:line="240" w:lineRule="auto"/>
        <w:rPr>
          <w:sz w:val="24"/>
        </w:rPr>
      </w:pPr>
      <w:r>
        <w:rPr>
          <w:rFonts w:hint="eastAsia"/>
          <w:sz w:val="24"/>
        </w:rPr>
        <w:t xml:space="preserve">2.2.4 </w:t>
      </w:r>
      <w:r>
        <w:rPr>
          <w:rFonts w:hint="eastAsia"/>
          <w:sz w:val="24"/>
        </w:rPr>
        <w:t>正文部分</w:t>
      </w:r>
    </w:p>
    <w:p w:rsidR="005F266A" w:rsidRDefault="00D768AD">
      <w:pPr>
        <w:spacing w:line="360" w:lineRule="auto"/>
        <w:ind w:firstLineChars="163" w:firstLine="391"/>
        <w:jc w:val="left"/>
      </w:pPr>
      <w:r>
        <w:rPr>
          <w:rFonts w:asciiTheme="minorEastAsia" w:eastAsiaTheme="minorEastAsia" w:hAnsiTheme="minorEastAsia" w:hint="eastAsia"/>
          <w:sz w:val="24"/>
        </w:rPr>
        <w:t>本规范正文部分包括：</w:t>
      </w:r>
    </w:p>
    <w:p w:rsidR="005F266A" w:rsidRDefault="00D768AD">
      <w:pPr>
        <w:numPr>
          <w:ilvl w:val="0"/>
          <w:numId w:val="10"/>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 xml:space="preserve">4 </w:t>
      </w:r>
      <w:r>
        <w:rPr>
          <w:rFonts w:asciiTheme="minorEastAsia" w:eastAsiaTheme="minorEastAsia" w:hAnsiTheme="minorEastAsia" w:hint="eastAsia"/>
          <w:sz w:val="24"/>
        </w:rPr>
        <w:t>概述：给出航空工件几何参数测量结果的符合性判定的总体原则；</w:t>
      </w:r>
    </w:p>
    <w:p w:rsidR="005F266A" w:rsidRDefault="00D768AD">
      <w:pPr>
        <w:numPr>
          <w:ilvl w:val="0"/>
          <w:numId w:val="10"/>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 xml:space="preserve">5 </w:t>
      </w:r>
      <w:r>
        <w:rPr>
          <w:rFonts w:asciiTheme="minorEastAsia" w:eastAsiaTheme="minorEastAsia" w:hAnsiTheme="minorEastAsia" w:hint="eastAsia"/>
          <w:sz w:val="24"/>
        </w:rPr>
        <w:t>符合性判定程序：给出了符合性判定程序，并按照判定程序逐项给出规范限和规范区的确定、判定规则的确定、接收限和接收区的确定、符合性判定的结果和结果评价、合格概率计算、用户和生产者风险计算以及符合性判定声明；</w:t>
      </w:r>
    </w:p>
    <w:p w:rsidR="005F266A" w:rsidRDefault="00D768AD">
      <w:pPr>
        <w:numPr>
          <w:ilvl w:val="0"/>
          <w:numId w:val="10"/>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 xml:space="preserve">6 </w:t>
      </w:r>
      <w:r>
        <w:rPr>
          <w:rFonts w:asciiTheme="minorEastAsia" w:eastAsiaTheme="minorEastAsia" w:hAnsiTheme="minorEastAsia" w:hint="eastAsia"/>
          <w:sz w:val="24"/>
        </w:rPr>
        <w:t>符合性证据的提供：给出符合性判定证据提供的原则。</w:t>
      </w:r>
    </w:p>
    <w:p w:rsidR="005F266A" w:rsidRDefault="00D768AD">
      <w:pPr>
        <w:pStyle w:val="4"/>
        <w:spacing w:before="120" w:after="120" w:line="240" w:lineRule="auto"/>
        <w:rPr>
          <w:sz w:val="24"/>
        </w:rPr>
      </w:pPr>
      <w:r>
        <w:rPr>
          <w:rFonts w:hint="eastAsia"/>
          <w:sz w:val="24"/>
        </w:rPr>
        <w:t xml:space="preserve">2.2.5 </w:t>
      </w:r>
      <w:r>
        <w:rPr>
          <w:rFonts w:hint="eastAsia"/>
          <w:sz w:val="24"/>
        </w:rPr>
        <w:t>附录部分</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本规范附录部分包括：</w:t>
      </w:r>
    </w:p>
    <w:p w:rsidR="005F266A" w:rsidRDefault="00D768AD">
      <w:pPr>
        <w:numPr>
          <w:ilvl w:val="0"/>
          <w:numId w:val="11"/>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附录</w:t>
      </w:r>
      <w:r>
        <w:rPr>
          <w:rFonts w:asciiTheme="minorEastAsia" w:eastAsiaTheme="minorEastAsia" w:hAnsiTheme="minorEastAsia" w:hint="eastAsia"/>
          <w:sz w:val="24"/>
        </w:rPr>
        <w:t xml:space="preserve"> A </w:t>
      </w:r>
      <w:r>
        <w:rPr>
          <w:rFonts w:asciiTheme="minorEastAsia" w:eastAsiaTheme="minorEastAsia" w:hAnsiTheme="minorEastAsia" w:hint="eastAsia"/>
          <w:sz w:val="24"/>
        </w:rPr>
        <w:t>符合性判定流程图：以流程图形式给出了符合性判定流程；</w:t>
      </w:r>
    </w:p>
    <w:p w:rsidR="005F266A" w:rsidRDefault="00D768AD">
      <w:pPr>
        <w:numPr>
          <w:ilvl w:val="0"/>
          <w:numId w:val="11"/>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附录</w:t>
      </w:r>
      <w:r>
        <w:rPr>
          <w:rFonts w:asciiTheme="minorEastAsia" w:eastAsiaTheme="minorEastAsia" w:hAnsiTheme="minorEastAsia" w:hint="eastAsia"/>
          <w:sz w:val="24"/>
        </w:rPr>
        <w:t xml:space="preserve"> B </w:t>
      </w:r>
      <w:r>
        <w:rPr>
          <w:rFonts w:asciiTheme="minorEastAsia" w:eastAsiaTheme="minorEastAsia" w:hAnsiTheme="minorEastAsia" w:hint="eastAsia"/>
          <w:sz w:val="24"/>
        </w:rPr>
        <w:t>规范限和规范区间：给出规范限和规范区间的各种情形；</w:t>
      </w:r>
    </w:p>
    <w:p w:rsidR="005F266A" w:rsidRDefault="00D768AD">
      <w:pPr>
        <w:numPr>
          <w:ilvl w:val="0"/>
          <w:numId w:val="11"/>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附录</w:t>
      </w:r>
      <w:r>
        <w:rPr>
          <w:rFonts w:asciiTheme="minorEastAsia" w:eastAsiaTheme="minorEastAsia" w:hAnsiTheme="minorEastAsia" w:hint="eastAsia"/>
          <w:sz w:val="24"/>
        </w:rPr>
        <w:t xml:space="preserve"> C </w:t>
      </w:r>
      <w:r>
        <w:rPr>
          <w:rFonts w:asciiTheme="minorEastAsia" w:eastAsiaTheme="minorEastAsia" w:hAnsiTheme="minorEastAsia" w:hint="eastAsia"/>
          <w:sz w:val="24"/>
        </w:rPr>
        <w:t>测量能力指数：给出测量能力指数的含义及计算方法。</w:t>
      </w:r>
    </w:p>
    <w:p w:rsidR="005F266A" w:rsidRDefault="00D768AD">
      <w:pPr>
        <w:numPr>
          <w:ilvl w:val="0"/>
          <w:numId w:val="11"/>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附录</w:t>
      </w:r>
      <w:r>
        <w:rPr>
          <w:rFonts w:asciiTheme="minorEastAsia" w:eastAsiaTheme="minorEastAsia" w:hAnsiTheme="minorEastAsia" w:hint="eastAsia"/>
          <w:sz w:val="24"/>
        </w:rPr>
        <w:t xml:space="preserve"> D </w:t>
      </w:r>
      <w:r>
        <w:rPr>
          <w:rFonts w:asciiTheme="minorEastAsia" w:eastAsiaTheme="minorEastAsia" w:hAnsiTheme="minorEastAsia" w:hint="eastAsia"/>
          <w:sz w:val="24"/>
        </w:rPr>
        <w:t>护带系数计算，包括：适用范围、使用条件、使用说明、使用方法；</w:t>
      </w:r>
    </w:p>
    <w:p w:rsidR="005F266A" w:rsidRDefault="00D768AD">
      <w:pPr>
        <w:numPr>
          <w:ilvl w:val="0"/>
          <w:numId w:val="11"/>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附录</w:t>
      </w:r>
      <w:r>
        <w:rPr>
          <w:rFonts w:asciiTheme="minorEastAsia" w:eastAsiaTheme="minorEastAsia" w:hAnsiTheme="minorEastAsia" w:hint="eastAsia"/>
          <w:sz w:val="24"/>
        </w:rPr>
        <w:t xml:space="preserve"> E </w:t>
      </w:r>
      <w:r>
        <w:rPr>
          <w:rFonts w:asciiTheme="minorEastAsia" w:eastAsiaTheme="minorEastAsia" w:hAnsiTheme="minorEastAsia" w:hint="eastAsia"/>
          <w:sz w:val="24"/>
        </w:rPr>
        <w:t>合格概率和包含概率：给出合格概率和包含概率的含义和区别及计算方法。</w:t>
      </w:r>
    </w:p>
    <w:p w:rsidR="005F266A" w:rsidRDefault="00D768AD">
      <w:pPr>
        <w:numPr>
          <w:ilvl w:val="0"/>
          <w:numId w:val="11"/>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附录</w:t>
      </w:r>
      <w:r>
        <w:rPr>
          <w:rFonts w:asciiTheme="minorEastAsia" w:eastAsiaTheme="minorEastAsia" w:hAnsiTheme="minorEastAsia" w:hint="eastAsia"/>
          <w:sz w:val="24"/>
        </w:rPr>
        <w:t xml:space="preserve"> F </w:t>
      </w:r>
      <w:r>
        <w:rPr>
          <w:rFonts w:asciiTheme="minorEastAsia" w:eastAsiaTheme="minorEastAsia" w:hAnsiTheme="minorEastAsia" w:hint="eastAsia"/>
          <w:sz w:val="24"/>
        </w:rPr>
        <w:t>合格概率的计算；包括：单一规范下限的单侧规范区间、单一规范下限的单侧规范区间、双侧规范区间合格概率的计算；</w:t>
      </w:r>
    </w:p>
    <w:p w:rsidR="005F266A" w:rsidRDefault="00D768AD">
      <w:pPr>
        <w:numPr>
          <w:ilvl w:val="0"/>
          <w:numId w:val="11"/>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t>附录</w:t>
      </w:r>
      <w:r>
        <w:rPr>
          <w:rFonts w:asciiTheme="minorEastAsia" w:eastAsiaTheme="minorEastAsia" w:hAnsiTheme="minorEastAsia" w:hint="eastAsia"/>
          <w:sz w:val="24"/>
        </w:rPr>
        <w:t xml:space="preserve"> G </w:t>
      </w:r>
      <w:r>
        <w:rPr>
          <w:rFonts w:asciiTheme="minorEastAsia" w:eastAsiaTheme="minorEastAsia" w:hAnsiTheme="minorEastAsia" w:hint="eastAsia"/>
          <w:sz w:val="24"/>
        </w:rPr>
        <w:t>符合性判定的评价结果的</w:t>
      </w:r>
      <w:r>
        <w:rPr>
          <w:rFonts w:asciiTheme="minorEastAsia" w:eastAsiaTheme="minorEastAsia" w:hAnsiTheme="minorEastAsia" w:hint="eastAsia"/>
          <w:sz w:val="24"/>
        </w:rPr>
        <w:t>4</w:t>
      </w:r>
      <w:r>
        <w:rPr>
          <w:rFonts w:asciiTheme="minorEastAsia" w:eastAsiaTheme="minorEastAsia" w:hAnsiTheme="minorEastAsia" w:hint="eastAsia"/>
          <w:sz w:val="24"/>
        </w:rPr>
        <w:t>种情形，包括：有效合格，无效合格（消费者风险），有效不合格，无效不合格（生产商风险）。</w:t>
      </w:r>
    </w:p>
    <w:p w:rsidR="005F266A" w:rsidRDefault="00D768AD">
      <w:pPr>
        <w:numPr>
          <w:ilvl w:val="0"/>
          <w:numId w:val="11"/>
        </w:numPr>
        <w:spacing w:line="360" w:lineRule="auto"/>
        <w:ind w:leftChars="200" w:left="845"/>
        <w:jc w:val="left"/>
        <w:rPr>
          <w:rFonts w:asciiTheme="minorEastAsia" w:eastAsiaTheme="minorEastAsia" w:hAnsiTheme="minorEastAsia"/>
          <w:sz w:val="24"/>
        </w:rPr>
      </w:pPr>
      <w:r>
        <w:rPr>
          <w:rFonts w:asciiTheme="minorEastAsia" w:eastAsiaTheme="minorEastAsia" w:hAnsiTheme="minorEastAsia" w:hint="eastAsia"/>
          <w:sz w:val="24"/>
        </w:rPr>
        <w:lastRenderedPageBreak/>
        <w:t>附录</w:t>
      </w:r>
      <w:r>
        <w:rPr>
          <w:rFonts w:asciiTheme="minorEastAsia" w:eastAsiaTheme="minorEastAsia" w:hAnsiTheme="minorEastAsia" w:hint="eastAsia"/>
          <w:sz w:val="24"/>
        </w:rPr>
        <w:t xml:space="preserve"> H </w:t>
      </w:r>
      <w:r>
        <w:rPr>
          <w:rFonts w:asciiTheme="minorEastAsia" w:eastAsiaTheme="minorEastAsia" w:hAnsiTheme="minorEastAsia" w:hint="eastAsia"/>
          <w:sz w:val="24"/>
        </w:rPr>
        <w:t>消费者和生产商风险计算，包括：消费者风险的计算（特定消费者风险的计算、全局消费者风险的计算）、生产商风险的计算（特定生产商</w:t>
      </w:r>
      <w:r>
        <w:rPr>
          <w:rFonts w:asciiTheme="minorEastAsia" w:eastAsiaTheme="minorEastAsia" w:hAnsiTheme="minorEastAsia" w:hint="eastAsia"/>
          <w:sz w:val="24"/>
        </w:rPr>
        <w:t>风险的计算、全局生产商风险的计算）。</w:t>
      </w:r>
    </w:p>
    <w:bookmarkEnd w:id="5"/>
    <w:bookmarkEnd w:id="6"/>
    <w:p w:rsidR="005F266A" w:rsidRDefault="00D768AD">
      <w:pPr>
        <w:pStyle w:val="3"/>
        <w:spacing w:before="120" w:after="120" w:line="240" w:lineRule="auto"/>
        <w:rPr>
          <w:rFonts w:ascii="黑体" w:eastAsia="黑体" w:hAnsi="黑体" w:cs="黑体"/>
          <w:sz w:val="28"/>
          <w:szCs w:val="28"/>
        </w:rPr>
      </w:pPr>
      <w:r>
        <w:rPr>
          <w:rFonts w:ascii="黑体" w:eastAsia="黑体" w:hAnsi="黑体" w:cs="黑体" w:hint="eastAsia"/>
          <w:sz w:val="28"/>
          <w:szCs w:val="28"/>
        </w:rPr>
        <w:t xml:space="preserve">2.3 </w:t>
      </w:r>
      <w:r>
        <w:rPr>
          <w:rFonts w:ascii="黑体" w:eastAsia="黑体" w:hAnsi="黑体" w:cs="黑体" w:hint="eastAsia"/>
          <w:sz w:val="28"/>
          <w:szCs w:val="28"/>
        </w:rPr>
        <w:t>与其他规范、标准相比，差异及其原因</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计量</w:t>
      </w:r>
      <w:r>
        <w:rPr>
          <w:rFonts w:asciiTheme="minorEastAsia" w:eastAsiaTheme="minorEastAsia" w:hAnsiTheme="minorEastAsia" w:hint="eastAsia"/>
          <w:sz w:val="24"/>
        </w:rPr>
        <w:t>检定</w:t>
      </w:r>
      <w:r>
        <w:rPr>
          <w:rFonts w:asciiTheme="minorEastAsia" w:eastAsiaTheme="minorEastAsia" w:hAnsiTheme="minorEastAsia" w:hint="eastAsia"/>
          <w:sz w:val="24"/>
        </w:rPr>
        <w:t>/</w:t>
      </w:r>
      <w:r>
        <w:rPr>
          <w:rFonts w:asciiTheme="minorEastAsia" w:eastAsiaTheme="minorEastAsia" w:hAnsiTheme="minorEastAsia" w:hint="eastAsia"/>
          <w:sz w:val="24"/>
        </w:rPr>
        <w:t>校准、定量包装检验、型式评价</w:t>
      </w:r>
      <w:r>
        <w:rPr>
          <w:rFonts w:asciiTheme="minorEastAsia" w:eastAsiaTheme="minorEastAsia" w:hAnsiTheme="minorEastAsia" w:hint="eastAsia"/>
          <w:sz w:val="24"/>
        </w:rPr>
        <w:t>和检验检测等</w:t>
      </w:r>
      <w:r>
        <w:rPr>
          <w:rFonts w:asciiTheme="minorEastAsia" w:eastAsiaTheme="minorEastAsia" w:hAnsiTheme="minorEastAsia" w:hint="eastAsia"/>
          <w:sz w:val="24"/>
        </w:rPr>
        <w:t>均涉及测量不确定度在符合性判断中应用</w:t>
      </w:r>
      <w:r>
        <w:rPr>
          <w:rFonts w:asciiTheme="minorEastAsia" w:eastAsiaTheme="minorEastAsia" w:hAnsiTheme="minorEastAsia" w:hint="eastAsia"/>
          <w:sz w:val="24"/>
        </w:rPr>
        <w:t>，</w:t>
      </w:r>
      <w:r>
        <w:rPr>
          <w:rFonts w:asciiTheme="minorEastAsia" w:eastAsiaTheme="minorEastAsia" w:hAnsiTheme="minorEastAsia" w:hint="eastAsia"/>
          <w:sz w:val="24"/>
        </w:rPr>
        <w:t>国际、国家均有关于测量不确定度的要求，如</w:t>
      </w:r>
      <w:r>
        <w:rPr>
          <w:rFonts w:asciiTheme="minorEastAsia" w:eastAsiaTheme="minorEastAsia" w:hAnsiTheme="minorEastAsia" w:hint="eastAsia"/>
          <w:sz w:val="24"/>
        </w:rPr>
        <w:t>RB/T 214-2017</w:t>
      </w:r>
      <w:r>
        <w:rPr>
          <w:rFonts w:asciiTheme="minorEastAsia" w:eastAsiaTheme="minorEastAsia" w:hAnsiTheme="minorEastAsia" w:hint="eastAsia"/>
          <w:sz w:val="24"/>
        </w:rPr>
        <w:t>《检验检测机构资质认定能力评价</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检验检测机构通用要求》</w:t>
      </w:r>
      <w:r>
        <w:rPr>
          <w:rFonts w:asciiTheme="minorEastAsia" w:eastAsiaTheme="minorEastAsia" w:hAnsiTheme="minorEastAsia" w:hint="eastAsia"/>
          <w:sz w:val="24"/>
        </w:rPr>
        <w:t xml:space="preserve">4.5.4 </w:t>
      </w:r>
      <w:r>
        <w:rPr>
          <w:rFonts w:asciiTheme="minorEastAsia" w:eastAsiaTheme="minorEastAsia" w:hAnsiTheme="minorEastAsia" w:hint="eastAsia"/>
          <w:sz w:val="24"/>
        </w:rPr>
        <w:t>明确规定“当客户要求出具的检验检测报告或证书中包含对标准或规范的符合性声明（如合格或不合格）时，检验检测机构应有相应的判定规则”</w:t>
      </w:r>
      <w:r>
        <w:rPr>
          <w:rFonts w:asciiTheme="minorEastAsia" w:eastAsiaTheme="minorEastAsia" w:hAnsiTheme="minorEastAsia" w:hint="eastAsia"/>
          <w:sz w:val="24"/>
        </w:rPr>
        <w:t>，</w:t>
      </w:r>
      <w:r>
        <w:rPr>
          <w:rFonts w:asciiTheme="minorEastAsia" w:eastAsiaTheme="minorEastAsia" w:hAnsiTheme="minorEastAsia" w:hint="eastAsia"/>
          <w:sz w:val="24"/>
        </w:rPr>
        <w:t>4.5.21</w:t>
      </w:r>
      <w:r>
        <w:rPr>
          <w:rFonts w:asciiTheme="minorEastAsia" w:eastAsiaTheme="minorEastAsia" w:hAnsiTheme="minorEastAsia" w:hint="eastAsia"/>
          <w:sz w:val="24"/>
        </w:rPr>
        <w:t>又明确要求</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“当测量不确定度与检验检测结果的有效性或应用有关，或客户</w:t>
      </w:r>
      <w:r>
        <w:rPr>
          <w:rFonts w:asciiTheme="minorEastAsia" w:eastAsiaTheme="minorEastAsia" w:hAnsiTheme="minorEastAsia" w:hint="eastAsia"/>
          <w:sz w:val="24"/>
        </w:rPr>
        <w:t>有要求，或当测量不确定度影响到对规范限度的符合性时，检验检测报告或证书中还需要包括测量不确定度的信息”。目前</w:t>
      </w:r>
      <w:r>
        <w:rPr>
          <w:rFonts w:asciiTheme="minorEastAsia" w:eastAsiaTheme="minorEastAsia" w:hAnsiTheme="minorEastAsia" w:hint="eastAsia"/>
          <w:sz w:val="24"/>
        </w:rPr>
        <w:t>我国关于</w:t>
      </w:r>
      <w:r>
        <w:rPr>
          <w:rFonts w:asciiTheme="minorEastAsia" w:eastAsiaTheme="minorEastAsia" w:hAnsiTheme="minorEastAsia" w:hint="eastAsia"/>
          <w:sz w:val="24"/>
        </w:rPr>
        <w:t>测量不确定度在符合性判定中的应用文件主要有</w:t>
      </w:r>
      <w:r>
        <w:rPr>
          <w:rFonts w:asciiTheme="minorEastAsia" w:eastAsiaTheme="minorEastAsia" w:hAnsiTheme="minorEastAsia" w:hint="eastAsia"/>
          <w:sz w:val="24"/>
        </w:rPr>
        <w:t>GB/T 18779.1</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2022 </w:t>
      </w:r>
      <w:r>
        <w:rPr>
          <w:rFonts w:asciiTheme="minorEastAsia" w:eastAsiaTheme="minorEastAsia" w:hAnsiTheme="minorEastAsia" w:hint="eastAsia"/>
          <w:sz w:val="24"/>
        </w:rPr>
        <w:t>《产品几何技术规范（</w:t>
      </w:r>
      <w:r>
        <w:rPr>
          <w:rFonts w:asciiTheme="minorEastAsia" w:eastAsiaTheme="minorEastAsia" w:hAnsiTheme="minorEastAsia" w:hint="eastAsia"/>
          <w:sz w:val="24"/>
        </w:rPr>
        <w:t>GPS</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工件与测量设备的测量检验</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1</w:t>
      </w:r>
      <w:r>
        <w:rPr>
          <w:rFonts w:asciiTheme="minorEastAsia" w:eastAsiaTheme="minorEastAsia" w:hAnsiTheme="minorEastAsia" w:hint="eastAsia"/>
          <w:sz w:val="24"/>
        </w:rPr>
        <w:t>部分：按规范验证合格或不合格的判定规则》</w:t>
      </w:r>
      <w:r>
        <w:rPr>
          <w:rFonts w:asciiTheme="minorEastAsia" w:eastAsiaTheme="minorEastAsia" w:hAnsiTheme="minorEastAsia" w:hint="eastAsia"/>
          <w:sz w:val="24"/>
        </w:rPr>
        <w:t>、</w:t>
      </w:r>
      <w:r>
        <w:rPr>
          <w:rFonts w:asciiTheme="minorEastAsia" w:eastAsiaTheme="minorEastAsia" w:hAnsiTheme="minorEastAsia" w:hint="eastAsia"/>
          <w:sz w:val="24"/>
        </w:rPr>
        <w:t>GB/T 18779.4</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2020 </w:t>
      </w:r>
      <w:r>
        <w:rPr>
          <w:rFonts w:asciiTheme="minorEastAsia" w:eastAsiaTheme="minorEastAsia" w:hAnsiTheme="minorEastAsia" w:hint="eastAsia"/>
          <w:sz w:val="24"/>
        </w:rPr>
        <w:t>《产品几何技术规范（</w:t>
      </w:r>
      <w:r>
        <w:rPr>
          <w:rFonts w:asciiTheme="minorEastAsia" w:eastAsiaTheme="minorEastAsia" w:hAnsiTheme="minorEastAsia" w:hint="eastAsia"/>
          <w:sz w:val="24"/>
        </w:rPr>
        <w:t>GPS</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工件与测量设备的测量检验</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4</w:t>
      </w:r>
      <w:r>
        <w:rPr>
          <w:rFonts w:asciiTheme="minorEastAsia" w:eastAsiaTheme="minorEastAsia" w:hAnsiTheme="minorEastAsia" w:hint="eastAsia"/>
          <w:sz w:val="24"/>
        </w:rPr>
        <w:t>部分：判定规则中功能限与规范限的基础》</w:t>
      </w:r>
      <w:r>
        <w:rPr>
          <w:rFonts w:asciiTheme="minorEastAsia" w:eastAsiaTheme="minorEastAsia" w:hAnsiTheme="minorEastAsia" w:hint="eastAsia"/>
          <w:sz w:val="24"/>
        </w:rPr>
        <w:t>、</w:t>
      </w:r>
      <w:r>
        <w:rPr>
          <w:rFonts w:asciiTheme="minorEastAsia" w:eastAsiaTheme="minorEastAsia" w:hAnsiTheme="minorEastAsia" w:hint="eastAsia"/>
          <w:sz w:val="24"/>
        </w:rPr>
        <w:t>GB/T 18779.6</w:t>
      </w:r>
      <w:r>
        <w:rPr>
          <w:rFonts w:asciiTheme="minorEastAsia" w:eastAsiaTheme="minorEastAsia" w:hAnsiTheme="minorEastAsia" w:hint="eastAsia"/>
          <w:sz w:val="24"/>
        </w:rPr>
        <w:t>—</w:t>
      </w:r>
      <w:r>
        <w:rPr>
          <w:rFonts w:asciiTheme="minorEastAsia" w:eastAsiaTheme="minorEastAsia" w:hAnsiTheme="minorEastAsia" w:hint="eastAsia"/>
          <w:sz w:val="24"/>
        </w:rPr>
        <w:t>2020</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《产品几何技术规范</w:t>
      </w:r>
      <w:r>
        <w:rPr>
          <w:rFonts w:asciiTheme="minorEastAsia" w:eastAsiaTheme="minorEastAsia" w:hAnsiTheme="minorEastAsia" w:hint="eastAsia"/>
          <w:sz w:val="24"/>
        </w:rPr>
        <w:t>( GPS</w:t>
      </w:r>
      <w:r>
        <w:rPr>
          <w:rFonts w:asciiTheme="minorEastAsia" w:eastAsiaTheme="minorEastAsia" w:hAnsiTheme="minorEastAsia" w:hint="eastAsia"/>
          <w:sz w:val="24"/>
        </w:rPr>
        <w:t>）工件与测量设</w:t>
      </w:r>
      <w:r>
        <w:rPr>
          <w:rFonts w:asciiTheme="minorEastAsia" w:eastAsiaTheme="minorEastAsia" w:hAnsiTheme="minorEastAsia" w:hint="eastAsia"/>
          <w:sz w:val="24"/>
        </w:rPr>
        <w:t>备的测量检验</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6</w:t>
      </w:r>
      <w:r>
        <w:rPr>
          <w:rFonts w:asciiTheme="minorEastAsia" w:eastAsiaTheme="minorEastAsia" w:hAnsiTheme="minorEastAsia" w:hint="eastAsia"/>
          <w:sz w:val="24"/>
        </w:rPr>
        <w:t>部分：仪器和工件接受</w:t>
      </w:r>
      <w:r>
        <w:rPr>
          <w:rFonts w:asciiTheme="minorEastAsia" w:eastAsiaTheme="minorEastAsia" w:hAnsiTheme="minorEastAsia" w:hint="eastAsia"/>
          <w:sz w:val="24"/>
        </w:rPr>
        <w:t>/</w:t>
      </w:r>
      <w:r>
        <w:rPr>
          <w:rFonts w:asciiTheme="minorEastAsia" w:eastAsiaTheme="minorEastAsia" w:hAnsiTheme="minorEastAsia" w:hint="eastAsia"/>
          <w:sz w:val="24"/>
        </w:rPr>
        <w:t>拒收的通用判定规则》</w:t>
      </w:r>
      <w:r>
        <w:rPr>
          <w:rFonts w:asciiTheme="minorEastAsia" w:eastAsiaTheme="minorEastAsia" w:hAnsiTheme="minorEastAsia" w:hint="eastAsia"/>
          <w:sz w:val="24"/>
        </w:rPr>
        <w:t>、</w:t>
      </w:r>
      <w:r>
        <w:rPr>
          <w:rFonts w:asciiTheme="minorEastAsia" w:eastAsiaTheme="minorEastAsia" w:hAnsiTheme="minorEastAsia" w:hint="eastAsia"/>
          <w:sz w:val="24"/>
        </w:rPr>
        <w:t>GB/T 27430</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2022 </w:t>
      </w:r>
      <w:r>
        <w:rPr>
          <w:rFonts w:asciiTheme="minorEastAsia" w:eastAsiaTheme="minorEastAsia" w:hAnsiTheme="minorEastAsia" w:hint="eastAsia"/>
          <w:sz w:val="24"/>
        </w:rPr>
        <w:t>《测量不确定度在合格评定中的作用》、</w:t>
      </w:r>
      <w:r>
        <w:rPr>
          <w:rFonts w:asciiTheme="minorEastAsia" w:eastAsiaTheme="minorEastAsia" w:hAnsiTheme="minorEastAsia" w:hint="eastAsia"/>
          <w:sz w:val="24"/>
        </w:rPr>
        <w:t>CNAS-TRL-010</w:t>
      </w:r>
      <w:r>
        <w:rPr>
          <w:rFonts w:asciiTheme="minorEastAsia" w:eastAsiaTheme="minorEastAsia" w:hAnsiTheme="minorEastAsia" w:hint="eastAsia"/>
          <w:sz w:val="24"/>
        </w:rPr>
        <w:t>：</w:t>
      </w:r>
      <w:r>
        <w:rPr>
          <w:rFonts w:asciiTheme="minorEastAsia" w:eastAsiaTheme="minorEastAsia" w:hAnsiTheme="minorEastAsia" w:hint="eastAsia"/>
          <w:sz w:val="24"/>
        </w:rPr>
        <w:t>2019</w:t>
      </w:r>
      <w:r>
        <w:rPr>
          <w:rFonts w:asciiTheme="minorEastAsia" w:eastAsiaTheme="minorEastAsia" w:hAnsiTheme="minorEastAsia" w:hint="eastAsia"/>
          <w:sz w:val="24"/>
        </w:rPr>
        <w:t>《测量不确定度在符合性判定中的应用》、</w:t>
      </w:r>
      <w:r>
        <w:rPr>
          <w:rFonts w:asciiTheme="minorEastAsia" w:eastAsiaTheme="minorEastAsia" w:hAnsiTheme="minorEastAsia" w:hint="eastAsia"/>
          <w:sz w:val="24"/>
        </w:rPr>
        <w:t>RB/T 197</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2015 </w:t>
      </w:r>
      <w:r>
        <w:rPr>
          <w:rFonts w:asciiTheme="minorEastAsia" w:eastAsiaTheme="minorEastAsia" w:hAnsiTheme="minorEastAsia" w:hint="eastAsia"/>
          <w:sz w:val="24"/>
        </w:rPr>
        <w:t>《检测和校准结果及与规范符合性的报告指南》</w:t>
      </w:r>
      <w:r>
        <w:rPr>
          <w:rFonts w:asciiTheme="minorEastAsia" w:eastAsiaTheme="minorEastAsia" w:hAnsiTheme="minorEastAsia" w:hint="eastAsia"/>
          <w:sz w:val="24"/>
        </w:rPr>
        <w:t>、</w:t>
      </w:r>
      <w:r>
        <w:rPr>
          <w:rFonts w:asciiTheme="minorEastAsia" w:eastAsiaTheme="minorEastAsia" w:hAnsiTheme="minorEastAsia"/>
          <w:sz w:val="24"/>
        </w:rPr>
        <w:t xml:space="preserve">DB61/T 1327.10—2023 </w:t>
      </w:r>
      <w:r>
        <w:rPr>
          <w:rFonts w:asciiTheme="minorEastAsia" w:eastAsiaTheme="minorEastAsia" w:hAnsiTheme="minorEastAsia" w:hint="eastAsia"/>
          <w:sz w:val="24"/>
        </w:rPr>
        <w:t>《</w:t>
      </w:r>
      <w:r>
        <w:rPr>
          <w:rFonts w:asciiTheme="minorEastAsia" w:eastAsiaTheme="minorEastAsia" w:hAnsiTheme="minorEastAsia"/>
          <w:sz w:val="24"/>
        </w:rPr>
        <w:t>检验检测机构资质认定</w:t>
      </w:r>
      <w:r>
        <w:rPr>
          <w:rFonts w:asciiTheme="minorEastAsia" w:eastAsiaTheme="minorEastAsia" w:hAnsiTheme="minorEastAsia"/>
          <w:sz w:val="24"/>
        </w:rPr>
        <w:t xml:space="preserve">  </w:t>
      </w:r>
      <w:r>
        <w:rPr>
          <w:rFonts w:asciiTheme="minorEastAsia" w:eastAsiaTheme="minorEastAsia" w:hAnsiTheme="minorEastAsia"/>
          <w:sz w:val="24"/>
        </w:rPr>
        <w:t>第</w:t>
      </w:r>
      <w:r>
        <w:rPr>
          <w:rFonts w:asciiTheme="minorEastAsia" w:eastAsiaTheme="minorEastAsia" w:hAnsiTheme="minorEastAsia"/>
          <w:sz w:val="24"/>
        </w:rPr>
        <w:t>10</w:t>
      </w:r>
      <w:r>
        <w:rPr>
          <w:rFonts w:asciiTheme="minorEastAsia" w:eastAsiaTheme="minorEastAsia" w:hAnsiTheme="minorEastAsia"/>
          <w:sz w:val="24"/>
        </w:rPr>
        <w:t>部分：测量不确定度在检测结果符合性判定中的应用指南</w:t>
      </w:r>
      <w:r>
        <w:rPr>
          <w:rFonts w:asciiTheme="minorEastAsia" w:eastAsiaTheme="minorEastAsia" w:hAnsiTheme="minorEastAsia" w:hint="eastAsia"/>
          <w:sz w:val="24"/>
        </w:rPr>
        <w:t>》和</w:t>
      </w:r>
      <w:r>
        <w:rPr>
          <w:rFonts w:asciiTheme="minorEastAsia" w:eastAsiaTheme="minorEastAsia" w:hAnsiTheme="minorEastAsia" w:hint="eastAsia"/>
          <w:sz w:val="24"/>
        </w:rPr>
        <w:t>正在起草</w:t>
      </w:r>
      <w:r>
        <w:rPr>
          <w:rFonts w:asciiTheme="minorEastAsia" w:eastAsiaTheme="minorEastAsia" w:hAnsiTheme="minorEastAsia" w:hint="eastAsia"/>
          <w:sz w:val="24"/>
        </w:rPr>
        <w:t>的技术规范《测量不确定度在法制计量合格评定的作用》。其中</w:t>
      </w:r>
      <w:r>
        <w:rPr>
          <w:rFonts w:asciiTheme="minorEastAsia" w:eastAsiaTheme="minorEastAsia" w:hAnsiTheme="minorEastAsia" w:hint="eastAsia"/>
          <w:sz w:val="24"/>
        </w:rPr>
        <w:t>CNAS-TRL-010</w:t>
      </w:r>
      <w:r>
        <w:rPr>
          <w:rFonts w:asciiTheme="minorEastAsia" w:eastAsiaTheme="minorEastAsia" w:hAnsiTheme="minorEastAsia" w:hint="eastAsia"/>
          <w:sz w:val="24"/>
        </w:rPr>
        <w:t>：</w:t>
      </w:r>
      <w:r>
        <w:rPr>
          <w:rFonts w:asciiTheme="minorEastAsia" w:eastAsiaTheme="minorEastAsia" w:hAnsiTheme="minorEastAsia" w:hint="eastAsia"/>
          <w:sz w:val="24"/>
        </w:rPr>
        <w:t>2019</w:t>
      </w:r>
      <w:r>
        <w:rPr>
          <w:rFonts w:asciiTheme="minorEastAsia" w:eastAsiaTheme="minorEastAsia" w:hAnsiTheme="minorEastAsia" w:hint="eastAsia"/>
          <w:sz w:val="24"/>
        </w:rPr>
        <w:t>较为全面，但由于其主要是对</w:t>
      </w:r>
      <w:r>
        <w:rPr>
          <w:rFonts w:asciiTheme="minorEastAsia" w:eastAsiaTheme="minorEastAsia" w:hAnsiTheme="minorEastAsia" w:hint="eastAsia"/>
          <w:sz w:val="24"/>
        </w:rPr>
        <w:t>ISO/IEC</w:t>
      </w:r>
      <w:r>
        <w:rPr>
          <w:rFonts w:asciiTheme="minorEastAsia" w:eastAsiaTheme="minorEastAsia" w:hAnsiTheme="minorEastAsia" w:hint="eastAsia"/>
          <w:sz w:val="24"/>
        </w:rPr>
        <w:t>指南</w:t>
      </w:r>
      <w:r>
        <w:rPr>
          <w:rFonts w:asciiTheme="minorEastAsia" w:eastAsiaTheme="minorEastAsia" w:hAnsiTheme="minorEastAsia" w:hint="eastAsia"/>
          <w:sz w:val="24"/>
        </w:rPr>
        <w:t xml:space="preserve"> 98-4:2012 </w:t>
      </w:r>
      <w:r>
        <w:rPr>
          <w:rFonts w:asciiTheme="minorEastAsia" w:eastAsiaTheme="minorEastAsia" w:hAnsiTheme="minorEastAsia" w:hint="eastAsia"/>
          <w:sz w:val="24"/>
        </w:rPr>
        <w:t>《测量不确定度</w:t>
      </w:r>
      <w:r>
        <w:rPr>
          <w:rFonts w:asciiTheme="minorEastAsia" w:eastAsiaTheme="minorEastAsia" w:hAnsiTheme="minorEastAsia" w:hint="eastAsia"/>
          <w:sz w:val="24"/>
        </w:rPr>
        <w:t>-</w:t>
      </w:r>
      <w:r>
        <w:rPr>
          <w:rFonts w:asciiTheme="minorEastAsia" w:eastAsiaTheme="minorEastAsia" w:hAnsiTheme="minorEastAsia" w:hint="eastAsia"/>
          <w:sz w:val="24"/>
        </w:rPr>
        <w:t>第</w:t>
      </w:r>
      <w:r>
        <w:rPr>
          <w:rFonts w:asciiTheme="minorEastAsia" w:eastAsiaTheme="minorEastAsia" w:hAnsiTheme="minorEastAsia" w:hint="eastAsia"/>
          <w:sz w:val="24"/>
        </w:rPr>
        <w:t>4</w:t>
      </w:r>
      <w:r>
        <w:rPr>
          <w:rFonts w:asciiTheme="minorEastAsia" w:eastAsiaTheme="minorEastAsia" w:hAnsiTheme="minorEastAsia" w:hint="eastAsia"/>
          <w:sz w:val="24"/>
        </w:rPr>
        <w:t>部分：测量不确定度在合格评定中的应用》的等同采用，结构</w:t>
      </w:r>
      <w:r>
        <w:rPr>
          <w:rFonts w:asciiTheme="minorEastAsia" w:eastAsiaTheme="minorEastAsia" w:hAnsiTheme="minorEastAsia" w:hint="eastAsia"/>
          <w:sz w:val="24"/>
        </w:rPr>
        <w:t>和</w:t>
      </w:r>
      <w:r>
        <w:rPr>
          <w:rFonts w:asciiTheme="minorEastAsia" w:eastAsiaTheme="minorEastAsia" w:hAnsiTheme="minorEastAsia" w:hint="eastAsia"/>
          <w:sz w:val="24"/>
        </w:rPr>
        <w:t>内容上</w:t>
      </w:r>
      <w:r>
        <w:rPr>
          <w:rFonts w:asciiTheme="minorEastAsia" w:eastAsiaTheme="minorEastAsia" w:hAnsiTheme="minorEastAsia" w:hint="eastAsia"/>
          <w:sz w:val="24"/>
        </w:rPr>
        <w:t>主要</w:t>
      </w:r>
      <w:r>
        <w:rPr>
          <w:rFonts w:asciiTheme="minorEastAsia" w:eastAsiaTheme="minorEastAsia" w:hAnsiTheme="minorEastAsia" w:hint="eastAsia"/>
          <w:sz w:val="24"/>
        </w:rPr>
        <w:t>偏重学术应用，</w:t>
      </w:r>
      <w:r>
        <w:rPr>
          <w:rFonts w:asciiTheme="minorEastAsia" w:eastAsiaTheme="minorEastAsia" w:hAnsiTheme="minorEastAsia" w:hint="eastAsia"/>
          <w:sz w:val="24"/>
        </w:rPr>
        <w:t>实际应用不是很便利</w:t>
      </w:r>
      <w:r>
        <w:rPr>
          <w:rFonts w:asciiTheme="minorEastAsia" w:eastAsiaTheme="minorEastAsia" w:hAnsiTheme="minorEastAsia" w:hint="eastAsia"/>
          <w:sz w:val="24"/>
        </w:rPr>
        <w:t>；</w:t>
      </w:r>
      <w:r>
        <w:rPr>
          <w:rFonts w:asciiTheme="minorEastAsia" w:eastAsiaTheme="minorEastAsia" w:hAnsiTheme="minorEastAsia" w:hint="eastAsia"/>
          <w:sz w:val="24"/>
        </w:rPr>
        <w:t>RB/T 197</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2015 </w:t>
      </w:r>
      <w:r>
        <w:rPr>
          <w:rFonts w:asciiTheme="minorEastAsia" w:eastAsiaTheme="minorEastAsia" w:hAnsiTheme="minorEastAsia" w:hint="eastAsia"/>
          <w:sz w:val="24"/>
        </w:rPr>
        <w:t>提出符合性判定的原则，但缺少对落入待定区域的测量结构的处理方法</w:t>
      </w:r>
      <w:r>
        <w:rPr>
          <w:rFonts w:asciiTheme="minorEastAsia" w:eastAsiaTheme="minorEastAsia" w:hAnsiTheme="minorEastAsia" w:hint="eastAsia"/>
          <w:sz w:val="24"/>
        </w:rPr>
        <w:t>；</w:t>
      </w:r>
      <w:r>
        <w:rPr>
          <w:rFonts w:asciiTheme="minorEastAsia" w:eastAsiaTheme="minorEastAsia" w:hAnsiTheme="minorEastAsia" w:hint="eastAsia"/>
          <w:sz w:val="24"/>
        </w:rPr>
        <w:t>正在</w:t>
      </w:r>
      <w:r>
        <w:rPr>
          <w:rFonts w:asciiTheme="minorEastAsia" w:eastAsiaTheme="minorEastAsia" w:hAnsiTheme="minorEastAsia" w:hint="eastAsia"/>
          <w:sz w:val="24"/>
        </w:rPr>
        <w:t>起草</w:t>
      </w:r>
      <w:r>
        <w:rPr>
          <w:rFonts w:asciiTheme="minorEastAsia" w:eastAsiaTheme="minorEastAsia" w:hAnsiTheme="minorEastAsia" w:hint="eastAsia"/>
          <w:sz w:val="24"/>
        </w:rPr>
        <w:t>的技术规范《测量不确定度在法制计量合格评定的作用》主要是对国际法制计量组织（</w:t>
      </w:r>
      <w:r>
        <w:rPr>
          <w:rFonts w:asciiTheme="minorEastAsia" w:eastAsiaTheme="minorEastAsia" w:hAnsiTheme="minorEastAsia" w:hint="eastAsia"/>
          <w:sz w:val="24"/>
        </w:rPr>
        <w:t>OIML</w:t>
      </w:r>
      <w:r>
        <w:rPr>
          <w:rFonts w:asciiTheme="minorEastAsia" w:eastAsiaTheme="minorEastAsia" w:hAnsiTheme="minorEastAsia" w:hint="eastAsia"/>
          <w:sz w:val="24"/>
        </w:rPr>
        <w:t>）的导则</w:t>
      </w:r>
      <w:r>
        <w:rPr>
          <w:rFonts w:asciiTheme="minorEastAsia" w:eastAsiaTheme="minorEastAsia" w:hAnsiTheme="minorEastAsia" w:hint="eastAsia"/>
          <w:sz w:val="24"/>
        </w:rPr>
        <w:t>G19:2017</w:t>
      </w:r>
      <w:r>
        <w:rPr>
          <w:rFonts w:asciiTheme="minorEastAsia" w:eastAsiaTheme="minorEastAsia" w:hAnsiTheme="minorEastAsia" w:hint="eastAsia"/>
          <w:sz w:val="24"/>
        </w:rPr>
        <w:t>《测量不确定度在法制计量合格</w:t>
      </w:r>
      <w:r>
        <w:rPr>
          <w:rFonts w:asciiTheme="minorEastAsia" w:eastAsiaTheme="minorEastAsia" w:hAnsiTheme="minorEastAsia" w:hint="eastAsia"/>
          <w:sz w:val="24"/>
        </w:rPr>
        <w:t>评定中的作用》</w:t>
      </w:r>
      <w:r>
        <w:rPr>
          <w:rFonts w:asciiTheme="minorEastAsia" w:eastAsiaTheme="minorEastAsia" w:hAnsiTheme="minorEastAsia" w:hint="eastAsia"/>
          <w:sz w:val="24"/>
        </w:rPr>
        <w:t xml:space="preserve">(The role of measurement uncertainty in conformity assessment </w:t>
      </w:r>
      <w:r>
        <w:rPr>
          <w:rFonts w:asciiTheme="minorEastAsia" w:eastAsiaTheme="minorEastAsia" w:hAnsiTheme="minorEastAsia" w:hint="eastAsia"/>
          <w:sz w:val="24"/>
        </w:rPr>
        <w:lastRenderedPageBreak/>
        <w:t>decisions in legal metrology)</w:t>
      </w:r>
      <w:r>
        <w:rPr>
          <w:rFonts w:asciiTheme="minorEastAsia" w:eastAsiaTheme="minorEastAsia" w:hAnsiTheme="minorEastAsia" w:hint="eastAsia"/>
          <w:sz w:val="24"/>
        </w:rPr>
        <w:t>，主要修改了格式和条款号的调整，其他内容基本等效</w:t>
      </w:r>
      <w:r>
        <w:rPr>
          <w:rFonts w:asciiTheme="minorEastAsia" w:eastAsiaTheme="minorEastAsia" w:hAnsiTheme="minorEastAsia" w:hint="eastAsia"/>
          <w:sz w:val="24"/>
        </w:rPr>
        <w:t>，</w:t>
      </w:r>
      <w:r>
        <w:rPr>
          <w:rFonts w:asciiTheme="minorEastAsia" w:eastAsiaTheme="minorEastAsia" w:hAnsiTheme="minorEastAsia" w:hint="eastAsia"/>
          <w:sz w:val="24"/>
        </w:rPr>
        <w:t>缺少操作的判定流程。鉴于此种情况，本规范根据我国测量不确定度现状，制定一套结构清晰、通俗易懂，具有高可操作性的规范。以便于航空领域能够理解掌握符合性判定的程序、要求。有效避免航空工件几何参数测量结果的符合性判定风险。</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本规范主要参考</w:t>
      </w:r>
      <w:r>
        <w:rPr>
          <w:rFonts w:asciiTheme="minorEastAsia" w:eastAsiaTheme="minorEastAsia" w:hAnsiTheme="minorEastAsia" w:hint="eastAsia"/>
          <w:sz w:val="24"/>
        </w:rPr>
        <w:t>GB/T 18779.1</w:t>
      </w:r>
      <w:r>
        <w:rPr>
          <w:rFonts w:asciiTheme="minorEastAsia" w:eastAsiaTheme="minorEastAsia" w:hAnsiTheme="minorEastAsia" w:hint="eastAsia"/>
          <w:sz w:val="24"/>
        </w:rPr>
        <w:t>—</w:t>
      </w:r>
      <w:r>
        <w:rPr>
          <w:rFonts w:asciiTheme="minorEastAsia" w:eastAsiaTheme="minorEastAsia" w:hAnsiTheme="minorEastAsia" w:hint="eastAsia"/>
          <w:sz w:val="24"/>
        </w:rPr>
        <w:t>2022</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《产品几何技术规范（</w:t>
      </w:r>
      <w:r>
        <w:rPr>
          <w:rFonts w:asciiTheme="minorEastAsia" w:eastAsiaTheme="minorEastAsia" w:hAnsiTheme="minorEastAsia" w:hint="eastAsia"/>
          <w:sz w:val="24"/>
        </w:rPr>
        <w:t>GPS</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工件与测量设备的测量检验</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1</w:t>
      </w:r>
      <w:r>
        <w:rPr>
          <w:rFonts w:asciiTheme="minorEastAsia" w:eastAsiaTheme="minorEastAsia" w:hAnsiTheme="minorEastAsia" w:hint="eastAsia"/>
          <w:sz w:val="24"/>
        </w:rPr>
        <w:t>部分：按规范验证合格或不合格的判定规则》、</w:t>
      </w:r>
      <w:r>
        <w:rPr>
          <w:rFonts w:asciiTheme="minorEastAsia" w:eastAsiaTheme="minorEastAsia" w:hAnsiTheme="minorEastAsia" w:hint="eastAsia"/>
          <w:sz w:val="24"/>
        </w:rPr>
        <w:t>GB/T 18779.6</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2020  </w:t>
      </w:r>
      <w:r>
        <w:rPr>
          <w:rFonts w:asciiTheme="minorEastAsia" w:eastAsiaTheme="minorEastAsia" w:hAnsiTheme="minorEastAsia" w:hint="eastAsia"/>
          <w:sz w:val="24"/>
        </w:rPr>
        <w:t>《产品几何技术规范</w:t>
      </w:r>
      <w:r>
        <w:rPr>
          <w:rFonts w:asciiTheme="minorEastAsia" w:eastAsiaTheme="minorEastAsia" w:hAnsiTheme="minorEastAsia" w:hint="eastAsia"/>
          <w:sz w:val="24"/>
        </w:rPr>
        <w:t>( GPS</w:t>
      </w:r>
      <w:r>
        <w:rPr>
          <w:rFonts w:asciiTheme="minorEastAsia" w:eastAsiaTheme="minorEastAsia" w:hAnsiTheme="minorEastAsia" w:hint="eastAsia"/>
          <w:sz w:val="24"/>
        </w:rPr>
        <w:t>）工件与测量设备的测量检验</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6</w:t>
      </w:r>
      <w:r>
        <w:rPr>
          <w:rFonts w:asciiTheme="minorEastAsia" w:eastAsiaTheme="minorEastAsia" w:hAnsiTheme="minorEastAsia" w:hint="eastAsia"/>
          <w:sz w:val="24"/>
        </w:rPr>
        <w:t>部分：仪器和工件接受</w:t>
      </w:r>
      <w:r>
        <w:rPr>
          <w:rFonts w:asciiTheme="minorEastAsia" w:eastAsiaTheme="minorEastAsia" w:hAnsiTheme="minorEastAsia" w:hint="eastAsia"/>
          <w:sz w:val="24"/>
        </w:rPr>
        <w:t>/</w:t>
      </w:r>
      <w:r>
        <w:rPr>
          <w:rFonts w:asciiTheme="minorEastAsia" w:eastAsiaTheme="minorEastAsia" w:hAnsiTheme="minorEastAsia" w:hint="eastAsia"/>
          <w:sz w:val="24"/>
        </w:rPr>
        <w:t>拒收的通用判定规则》、</w:t>
      </w:r>
      <w:r>
        <w:rPr>
          <w:rFonts w:asciiTheme="minorEastAsia" w:eastAsiaTheme="minorEastAsia" w:hAnsiTheme="minorEastAsia" w:hint="eastAsia"/>
          <w:sz w:val="24"/>
        </w:rPr>
        <w:t>GB/T 27430</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2022 </w:t>
      </w:r>
      <w:r>
        <w:rPr>
          <w:rFonts w:asciiTheme="minorEastAsia" w:eastAsiaTheme="minorEastAsia" w:hAnsiTheme="minorEastAsia" w:hint="eastAsia"/>
          <w:sz w:val="24"/>
        </w:rPr>
        <w:t>《测量不确定度在合格评定中的作用》、</w:t>
      </w:r>
      <w:r>
        <w:rPr>
          <w:rFonts w:asciiTheme="minorEastAsia" w:eastAsiaTheme="minorEastAsia" w:hAnsiTheme="minorEastAsia" w:hint="eastAsia"/>
          <w:sz w:val="24"/>
        </w:rPr>
        <w:t>CNAS-TRL-010</w:t>
      </w:r>
      <w:r>
        <w:rPr>
          <w:rFonts w:asciiTheme="minorEastAsia" w:eastAsiaTheme="minorEastAsia" w:hAnsiTheme="minorEastAsia" w:hint="eastAsia"/>
          <w:sz w:val="24"/>
        </w:rPr>
        <w:t>：</w:t>
      </w:r>
      <w:r>
        <w:rPr>
          <w:rFonts w:asciiTheme="minorEastAsia" w:eastAsiaTheme="minorEastAsia" w:hAnsiTheme="minorEastAsia" w:hint="eastAsia"/>
          <w:sz w:val="24"/>
        </w:rPr>
        <w:t>2019</w:t>
      </w:r>
      <w:r>
        <w:rPr>
          <w:rFonts w:asciiTheme="minorEastAsia" w:eastAsiaTheme="minorEastAsia" w:hAnsiTheme="minorEastAsia" w:hint="eastAsia"/>
          <w:sz w:val="24"/>
        </w:rPr>
        <w:t>《测量不确定度在符合性判定中的应用》、</w:t>
      </w:r>
      <w:r>
        <w:rPr>
          <w:rFonts w:asciiTheme="minorEastAsia" w:eastAsiaTheme="minorEastAsia" w:hAnsiTheme="minorEastAsia" w:hint="eastAsia"/>
          <w:sz w:val="24"/>
        </w:rPr>
        <w:t>DB61/T 1327.10</w:t>
      </w:r>
      <w:r>
        <w:rPr>
          <w:rFonts w:asciiTheme="minorEastAsia" w:eastAsiaTheme="minorEastAsia" w:hAnsiTheme="minorEastAsia" w:hint="eastAsia"/>
          <w:sz w:val="24"/>
        </w:rPr>
        <w:t>—</w:t>
      </w:r>
      <w:r>
        <w:rPr>
          <w:rFonts w:asciiTheme="minorEastAsia" w:eastAsiaTheme="minorEastAsia" w:hAnsiTheme="minorEastAsia" w:hint="eastAsia"/>
          <w:sz w:val="24"/>
        </w:rPr>
        <w:t xml:space="preserve">2023 </w:t>
      </w:r>
      <w:r>
        <w:rPr>
          <w:rFonts w:asciiTheme="minorEastAsia" w:eastAsiaTheme="minorEastAsia" w:hAnsiTheme="minorEastAsia" w:hint="eastAsia"/>
          <w:sz w:val="24"/>
        </w:rPr>
        <w:t>《检验检测机构资质认定</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10</w:t>
      </w:r>
      <w:r>
        <w:rPr>
          <w:rFonts w:asciiTheme="minorEastAsia" w:eastAsiaTheme="minorEastAsia" w:hAnsiTheme="minorEastAsia" w:hint="eastAsia"/>
          <w:sz w:val="24"/>
        </w:rPr>
        <w:t>部分：测量不确定度在检测结果符合性判定中的应用指南》编制</w:t>
      </w:r>
      <w:r>
        <w:rPr>
          <w:rFonts w:asciiTheme="minorEastAsia" w:eastAsiaTheme="minorEastAsia" w:hAnsiTheme="minorEastAsia" w:hint="eastAsia"/>
          <w:sz w:val="24"/>
        </w:rPr>
        <w:t>，规定了测量不确定度在符合性判定过程中的判定程序、确定</w:t>
      </w:r>
      <w:r>
        <w:rPr>
          <w:rFonts w:asciiTheme="minorEastAsia" w:eastAsiaTheme="minorEastAsia" w:hAnsiTheme="minorEastAsia" w:hint="eastAsia"/>
          <w:sz w:val="24"/>
        </w:rPr>
        <w:t>接收</w:t>
      </w:r>
      <w:r>
        <w:rPr>
          <w:rFonts w:asciiTheme="minorEastAsia" w:eastAsiaTheme="minorEastAsia" w:hAnsiTheme="minorEastAsia" w:hint="eastAsia"/>
          <w:sz w:val="24"/>
        </w:rPr>
        <w:t>限和</w:t>
      </w:r>
      <w:r>
        <w:rPr>
          <w:rFonts w:asciiTheme="minorEastAsia" w:eastAsiaTheme="minorEastAsia" w:hAnsiTheme="minorEastAsia" w:hint="eastAsia"/>
          <w:sz w:val="24"/>
        </w:rPr>
        <w:t>接收</w:t>
      </w:r>
      <w:r>
        <w:rPr>
          <w:rFonts w:asciiTheme="minorEastAsia" w:eastAsiaTheme="minorEastAsia" w:hAnsiTheme="minorEastAsia" w:hint="eastAsia"/>
          <w:sz w:val="24"/>
        </w:rPr>
        <w:t>区间、</w:t>
      </w:r>
      <w:r>
        <w:rPr>
          <w:rFonts w:asciiTheme="minorEastAsia" w:eastAsiaTheme="minorEastAsia" w:hAnsiTheme="minorEastAsia" w:hint="eastAsia"/>
          <w:sz w:val="24"/>
        </w:rPr>
        <w:t>默认</w:t>
      </w:r>
      <w:r>
        <w:rPr>
          <w:rFonts w:asciiTheme="minorEastAsia" w:eastAsiaTheme="minorEastAsia" w:hAnsiTheme="minorEastAsia" w:hint="eastAsia"/>
          <w:sz w:val="24"/>
        </w:rPr>
        <w:t>判定规则、</w:t>
      </w:r>
      <w:r>
        <w:rPr>
          <w:rFonts w:asciiTheme="minorEastAsia" w:eastAsiaTheme="minorEastAsia" w:hAnsiTheme="minorEastAsia" w:hint="eastAsia"/>
          <w:sz w:val="24"/>
        </w:rPr>
        <w:t>通用</w:t>
      </w:r>
      <w:r>
        <w:rPr>
          <w:rFonts w:asciiTheme="minorEastAsia" w:eastAsiaTheme="minorEastAsia" w:hAnsiTheme="minorEastAsia" w:hint="eastAsia"/>
          <w:sz w:val="24"/>
        </w:rPr>
        <w:t>判定规则、计算合格概率、符合性评价、计算消费者和生产商风险、计算接受限、声明方法</w:t>
      </w:r>
      <w:r>
        <w:rPr>
          <w:rFonts w:asciiTheme="minorEastAsia" w:eastAsiaTheme="minorEastAsia" w:hAnsiTheme="minorEastAsia" w:hint="eastAsia"/>
          <w:sz w:val="24"/>
        </w:rPr>
        <w:t>等</w:t>
      </w:r>
      <w:r>
        <w:rPr>
          <w:rFonts w:asciiTheme="minorEastAsia" w:eastAsiaTheme="minorEastAsia" w:hAnsiTheme="minorEastAsia" w:hint="eastAsia"/>
          <w:sz w:val="24"/>
        </w:rPr>
        <w:t>。</w:t>
      </w:r>
    </w:p>
    <w:p w:rsidR="005F266A" w:rsidRDefault="00D768AD">
      <w:pPr>
        <w:pStyle w:val="1"/>
        <w:spacing w:before="120" w:after="120" w:line="240" w:lineRule="auto"/>
        <w:rPr>
          <w:rFonts w:ascii="黑体" w:eastAsia="黑体" w:hAnsi="黑体" w:cs="黑体"/>
          <w:sz w:val="32"/>
          <w:szCs w:val="32"/>
        </w:rPr>
      </w:pPr>
      <w:r>
        <w:rPr>
          <w:rFonts w:ascii="黑体" w:eastAsia="黑体" w:hAnsi="黑体" w:cs="黑体" w:hint="eastAsia"/>
          <w:sz w:val="32"/>
          <w:szCs w:val="32"/>
        </w:rPr>
        <w:t xml:space="preserve">3 </w:t>
      </w:r>
      <w:r>
        <w:rPr>
          <w:rFonts w:ascii="黑体" w:eastAsia="黑体" w:hAnsi="黑体" w:cs="黑体" w:hint="eastAsia"/>
          <w:sz w:val="32"/>
          <w:szCs w:val="32"/>
        </w:rPr>
        <w:t>试验验证分析，预期的经济效益、社会效益。</w:t>
      </w:r>
    </w:p>
    <w:p w:rsidR="005F266A" w:rsidRDefault="00D768AD">
      <w:pPr>
        <w:pStyle w:val="3"/>
        <w:spacing w:before="120" w:after="120" w:line="240" w:lineRule="auto"/>
        <w:rPr>
          <w:rFonts w:ascii="黑体" w:eastAsia="黑体" w:hAnsi="黑体" w:cs="黑体"/>
          <w:sz w:val="28"/>
          <w:szCs w:val="28"/>
        </w:rPr>
      </w:pPr>
      <w:r>
        <w:rPr>
          <w:rFonts w:ascii="黑体" w:eastAsia="黑体" w:hAnsi="黑体" w:cs="黑体" w:hint="eastAsia"/>
          <w:sz w:val="28"/>
          <w:szCs w:val="28"/>
        </w:rPr>
        <w:t xml:space="preserve">3.1 </w:t>
      </w:r>
      <w:r>
        <w:rPr>
          <w:rFonts w:ascii="黑体" w:eastAsia="黑体" w:hAnsi="黑体" w:cs="黑体" w:hint="eastAsia"/>
          <w:sz w:val="28"/>
          <w:szCs w:val="28"/>
        </w:rPr>
        <w:t>试验验证的分析</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本规范属于基础性规范，不涉及试验验证内容。</w:t>
      </w:r>
    </w:p>
    <w:p w:rsidR="005F266A" w:rsidRDefault="00D768AD">
      <w:pPr>
        <w:pStyle w:val="3"/>
        <w:spacing w:before="120" w:after="120" w:line="240" w:lineRule="auto"/>
        <w:rPr>
          <w:rFonts w:ascii="黑体" w:eastAsia="黑体" w:hAnsi="黑体" w:cs="黑体"/>
          <w:sz w:val="28"/>
          <w:szCs w:val="28"/>
        </w:rPr>
      </w:pPr>
      <w:r>
        <w:rPr>
          <w:rFonts w:ascii="黑体" w:eastAsia="黑体" w:hAnsi="黑体" w:cs="黑体" w:hint="eastAsia"/>
          <w:sz w:val="28"/>
          <w:szCs w:val="28"/>
        </w:rPr>
        <w:t xml:space="preserve">3.2 </w:t>
      </w:r>
      <w:r>
        <w:rPr>
          <w:rFonts w:ascii="黑体" w:eastAsia="黑体" w:hAnsi="黑体" w:cs="黑体" w:hint="eastAsia"/>
          <w:sz w:val="28"/>
          <w:szCs w:val="28"/>
        </w:rPr>
        <w:t>预期的经济效益、社会效益</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测量不确定度应用于各种领域，包括在测量仪器的检定、校准、测试领域的应用，并拓展到工件的生产和验收领域。在航空工业领域，每年都有大量的工件需要验收，其中大部分工件的几何特征的技术指标通常以验</w:t>
      </w:r>
      <w:r>
        <w:rPr>
          <w:rFonts w:asciiTheme="minorEastAsia" w:eastAsiaTheme="minorEastAsia" w:hAnsiTheme="minorEastAsia" w:hint="eastAsia"/>
          <w:sz w:val="24"/>
        </w:rPr>
        <w:t>收部门或计量技术机构出具的测量结果作为主要依据，并根据给定的公差要求（最大允许误差）做出合格与不合格的判定。由于测量不确定度的存在，生产商和客户对不确定部分作合格或不合格判定的利益不同，常常引发纠纷，甚至涉及国际贸易，因此制定适合国情并符合国际规则的航空工件几何参数测量结果的符合性判定规则十分重要。</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lastRenderedPageBreak/>
        <w:t>航空工件几何参数特性的验收，至关重要的环节之一就是符合性判定（既根据测量结果给出合格或不合格的结论），理想状态应为作出“正确判定”，即仅将真正符合技术要求的工件作为合格品接受，或者仅将不符合技术要求的工件作为不</w:t>
      </w:r>
      <w:r>
        <w:rPr>
          <w:rFonts w:asciiTheme="minorEastAsia" w:eastAsiaTheme="minorEastAsia" w:hAnsiTheme="minorEastAsia" w:hint="eastAsia"/>
          <w:sz w:val="24"/>
        </w:rPr>
        <w:t>合格品拒收。但是由于测量不确定度的存在，根据测量值进行工件的符合性判定时，可能会</w:t>
      </w:r>
      <w:r>
        <w:rPr>
          <w:rFonts w:asciiTheme="minorEastAsia" w:eastAsiaTheme="minorEastAsia" w:hAnsiTheme="minorEastAsia" w:hint="eastAsia"/>
          <w:sz w:val="24"/>
        </w:rPr>
        <w:t>出现</w:t>
      </w:r>
      <w:r>
        <w:rPr>
          <w:rFonts w:asciiTheme="minorEastAsia" w:eastAsiaTheme="minorEastAsia" w:hAnsiTheme="minorEastAsia" w:hint="eastAsia"/>
          <w:sz w:val="24"/>
        </w:rPr>
        <w:t>“错误判定”：被作为合格品接收的工件实际上可能是不合格的，或者被作为不合格品拒绝的工件实际上可能是合格的。</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总之，按规定的公差要求验收几何工件，由于测量不确定度的存在，符合性判定具有一定的误判风险。工件做出合格或不合格的符合性判定时，应考虑测量不确定度、概率分布等，尤其是，当工件的允许误差极限值在由测得值和测量不确定给出的区间内时，供应商与客户的需求是完全不同的，供应商期待更多的产品被判定为合格品被接受，而客户则不愿意接受有任何不合格风险的产品，利益不同常常导致双方在验收时发生纠纷。</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关于测量仪器特性评定的基本原则和通用方法，国家技术规范</w:t>
      </w:r>
      <w:r>
        <w:rPr>
          <w:rFonts w:asciiTheme="minorEastAsia" w:eastAsiaTheme="minorEastAsia" w:hAnsiTheme="minorEastAsia" w:hint="eastAsia"/>
          <w:sz w:val="24"/>
        </w:rPr>
        <w:t>JJF 1094-2002</w:t>
      </w:r>
      <w:r>
        <w:rPr>
          <w:rFonts w:asciiTheme="minorEastAsia" w:eastAsiaTheme="minorEastAsia" w:hAnsiTheme="minorEastAsia" w:hint="eastAsia"/>
          <w:sz w:val="24"/>
        </w:rPr>
        <w:t>《测量仪器特性评定》，给出了</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“测量仪器示值误差符</w:t>
      </w:r>
      <w:r>
        <w:rPr>
          <w:rFonts w:asciiTheme="minorEastAsia" w:eastAsiaTheme="minorEastAsia" w:hAnsiTheme="minorEastAsia" w:hint="eastAsia"/>
          <w:sz w:val="24"/>
        </w:rPr>
        <w:t>合性评定的基本要求”；关于工件与测量设备的测量验收，国家发布了系列标准</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GB/T </w:t>
      </w:r>
      <w:r>
        <w:rPr>
          <w:rFonts w:asciiTheme="minorEastAsia" w:eastAsiaTheme="minorEastAsia" w:hAnsiTheme="minorEastAsia" w:hint="eastAsia"/>
          <w:sz w:val="24"/>
        </w:rPr>
        <w:t xml:space="preserve">18779 </w:t>
      </w:r>
      <w:r>
        <w:rPr>
          <w:rFonts w:asciiTheme="minorEastAsia" w:eastAsiaTheme="minorEastAsia" w:hAnsiTheme="minorEastAsia" w:hint="eastAsia"/>
          <w:sz w:val="24"/>
        </w:rPr>
        <w:t>《工件与测量设备的测量验收》，其中</w:t>
      </w:r>
      <w:r>
        <w:rPr>
          <w:rFonts w:asciiTheme="minorEastAsia" w:eastAsiaTheme="minorEastAsia" w:hAnsiTheme="minorEastAsia" w:hint="eastAsia"/>
          <w:sz w:val="24"/>
        </w:rPr>
        <w:t xml:space="preserve">GB/T 18779.1-2022 </w:t>
      </w:r>
      <w:r>
        <w:rPr>
          <w:rFonts w:asciiTheme="minorEastAsia" w:eastAsiaTheme="minorEastAsia" w:hAnsiTheme="minorEastAsia" w:hint="eastAsia"/>
          <w:sz w:val="24"/>
        </w:rPr>
        <w:t>《产品几何技术规范</w:t>
      </w:r>
      <w:r>
        <w:rPr>
          <w:rFonts w:asciiTheme="minorEastAsia" w:eastAsiaTheme="minorEastAsia" w:hAnsiTheme="minorEastAsia" w:hint="eastAsia"/>
          <w:sz w:val="24"/>
        </w:rPr>
        <w:t xml:space="preserve">(GPS) </w:t>
      </w:r>
      <w:r>
        <w:rPr>
          <w:rFonts w:asciiTheme="minorEastAsia" w:eastAsiaTheme="minorEastAsia" w:hAnsiTheme="minorEastAsia" w:hint="eastAsia"/>
          <w:sz w:val="24"/>
        </w:rPr>
        <w:t>工件与测量设备的测量检验</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第</w:t>
      </w:r>
      <w:r>
        <w:rPr>
          <w:rFonts w:asciiTheme="minorEastAsia" w:eastAsiaTheme="minorEastAsia" w:hAnsiTheme="minorEastAsia" w:hint="eastAsia"/>
          <w:sz w:val="24"/>
        </w:rPr>
        <w:t>1</w:t>
      </w:r>
      <w:r>
        <w:rPr>
          <w:rFonts w:asciiTheme="minorEastAsia" w:eastAsiaTheme="minorEastAsia" w:hAnsiTheme="minorEastAsia" w:hint="eastAsia"/>
          <w:sz w:val="24"/>
        </w:rPr>
        <w:t>部分：按规范验证合格与不合格的判定规则》规定了按给定工件特性（或工件批量特性）的公差或测量设备计量特性的最大允许误差，验证测量仪器的计量特性合格或不合格的判定规则。</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通过对国内航空制造企业和检测机构进行的调研发现，反馈的共性问题是</w:t>
      </w:r>
      <w:r>
        <w:rPr>
          <w:rFonts w:asciiTheme="minorEastAsia" w:eastAsiaTheme="minorEastAsia" w:hAnsiTheme="minorEastAsia" w:hint="eastAsia"/>
          <w:sz w:val="24"/>
        </w:rPr>
        <w:t xml:space="preserve">JJF 1094 </w:t>
      </w:r>
      <w:r>
        <w:rPr>
          <w:rFonts w:asciiTheme="minorEastAsia" w:eastAsiaTheme="minorEastAsia" w:hAnsiTheme="minorEastAsia" w:hint="eastAsia"/>
          <w:sz w:val="24"/>
        </w:rPr>
        <w:t>主要适合于测量仪器的特性评定，</w:t>
      </w:r>
      <w:r>
        <w:rPr>
          <w:rFonts w:asciiTheme="minorEastAsia" w:eastAsiaTheme="minorEastAsia" w:hAnsiTheme="minorEastAsia" w:hint="eastAsia"/>
          <w:sz w:val="24"/>
        </w:rPr>
        <w:t xml:space="preserve">GB/T </w:t>
      </w:r>
      <w:r>
        <w:rPr>
          <w:rFonts w:asciiTheme="minorEastAsia" w:eastAsiaTheme="minorEastAsia" w:hAnsiTheme="minorEastAsia" w:hint="eastAsia"/>
          <w:sz w:val="24"/>
        </w:rPr>
        <w:t xml:space="preserve">18779.1 </w:t>
      </w:r>
      <w:r>
        <w:rPr>
          <w:rFonts w:asciiTheme="minorEastAsia" w:eastAsiaTheme="minorEastAsia" w:hAnsiTheme="minorEastAsia" w:hint="eastAsia"/>
          <w:sz w:val="24"/>
        </w:rPr>
        <w:t>主要给出仪器或工件检验的一般规定。在航空领域，有大量的几何零件存在，且通常具有较高的技术要求，很多工件还涉及航空产品的安全，在验收工作中常常发生争议，目前我国尚没有适用于航空工件几何参数符合性判定规则相关技术规范。在校准、检验检测、生产加工领域，经常需要通过测量来判定被测仪器或产品，是否符合规程规范或标准的要求。在计量部门，经常要判定所用的测量仪器是否合格；在生产领域，经常要检验产品是否符合技术图纸上的标明的公差要求；在检验部门，经常需要判定所用的材料或产品是否合格。项目完成后，这些检定校准</w:t>
      </w:r>
      <w:r>
        <w:rPr>
          <w:rFonts w:asciiTheme="minorEastAsia" w:eastAsiaTheme="minorEastAsia" w:hAnsiTheme="minorEastAsia" w:hint="eastAsia"/>
          <w:sz w:val="24"/>
        </w:rPr>
        <w:t>和生产领域需要判定被测仪器或产品合格与否的机构或者生产厂商将有据可依，</w:t>
      </w:r>
      <w:r>
        <w:rPr>
          <w:rFonts w:asciiTheme="minorEastAsia" w:eastAsiaTheme="minorEastAsia" w:hAnsiTheme="minorEastAsia" w:hint="eastAsia"/>
          <w:sz w:val="24"/>
        </w:rPr>
        <w:lastRenderedPageBreak/>
        <w:t>社会效益显著。利用测量不确定度评判测量结果，可以有效降低相关合格评定的误判率，为消费者、机构和生产厂商提高经济效益。</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航空工件几何参数测量结果的符合性判定规则》适用于航空制造生产领域，明确考虑测量不确定度的工件符合性判定规则，以指导航空企业和计量技术机构正确开展航空工件的验收工作。本规范的制定将改变目前航空工件几何参数测量结果符合性判定无法可依的问题，制定、发布后将为航空工业提供一整套规范化、流程化的符合性判定方案，以确保测量结果符合性</w:t>
      </w:r>
      <w:r>
        <w:rPr>
          <w:rFonts w:asciiTheme="minorEastAsia" w:eastAsiaTheme="minorEastAsia" w:hAnsiTheme="minorEastAsia" w:hint="eastAsia"/>
          <w:sz w:val="24"/>
        </w:rPr>
        <w:t>判定的正确性、合理性。本规范的制定不仅填补了国内在相关规范领域的空白，大幅降低了我国航空工业，特别是航空检验检测行业的运行风险。</w:t>
      </w:r>
    </w:p>
    <w:p w:rsidR="005F266A" w:rsidRDefault="00D768AD">
      <w:pPr>
        <w:pStyle w:val="1"/>
        <w:spacing w:before="120" w:after="120" w:line="240" w:lineRule="auto"/>
        <w:rPr>
          <w:rFonts w:ascii="黑体" w:eastAsia="黑体" w:hAnsi="黑体" w:cs="黑体"/>
          <w:sz w:val="32"/>
          <w:szCs w:val="32"/>
        </w:rPr>
      </w:pPr>
      <w:r>
        <w:rPr>
          <w:rFonts w:ascii="黑体" w:eastAsia="黑体" w:hAnsi="黑体" w:cs="黑体" w:hint="eastAsia"/>
          <w:sz w:val="32"/>
          <w:szCs w:val="32"/>
        </w:rPr>
        <w:t xml:space="preserve">4 </w:t>
      </w:r>
      <w:r>
        <w:rPr>
          <w:rFonts w:ascii="黑体" w:eastAsia="黑体" w:hAnsi="黑体" w:cs="黑体" w:hint="eastAsia"/>
          <w:sz w:val="32"/>
          <w:szCs w:val="32"/>
        </w:rPr>
        <w:t>与有关法律、行政法规及相关规范、标准的关系</w:t>
      </w:r>
    </w:p>
    <w:p w:rsidR="005F266A" w:rsidRDefault="00D768AD">
      <w:pPr>
        <w:spacing w:line="360" w:lineRule="auto"/>
        <w:ind w:firstLineChars="163" w:firstLine="391"/>
        <w:jc w:val="left"/>
        <w:rPr>
          <w:rFonts w:asciiTheme="minorEastAsia" w:eastAsiaTheme="minorEastAsia" w:hAnsiTheme="minorEastAsia"/>
          <w:sz w:val="24"/>
        </w:rPr>
      </w:pPr>
      <w:bookmarkStart w:id="7" w:name="OLE_LINK3"/>
      <w:bookmarkStart w:id="8" w:name="OLE_LINK4"/>
      <w:r>
        <w:rPr>
          <w:rFonts w:asciiTheme="minorEastAsia" w:eastAsiaTheme="minorEastAsia" w:hAnsiTheme="minorEastAsia" w:hint="eastAsia"/>
          <w:sz w:val="24"/>
        </w:rPr>
        <w:t>本规范与我国的现行法律法规和国家计量技术规范、标准没有冲突。</w:t>
      </w:r>
    </w:p>
    <w:p w:rsidR="005F266A" w:rsidRDefault="00D768AD">
      <w:pPr>
        <w:pStyle w:val="1"/>
        <w:spacing w:before="120" w:after="120" w:line="240" w:lineRule="auto"/>
        <w:rPr>
          <w:rFonts w:ascii="黑体" w:eastAsia="黑体" w:hAnsi="黑体" w:cs="黑体"/>
          <w:sz w:val="32"/>
          <w:szCs w:val="32"/>
        </w:rPr>
      </w:pPr>
      <w:r>
        <w:rPr>
          <w:rFonts w:ascii="黑体" w:eastAsia="黑体" w:hAnsi="黑体" w:cs="黑体" w:hint="eastAsia"/>
          <w:sz w:val="32"/>
          <w:szCs w:val="32"/>
        </w:rPr>
        <w:t xml:space="preserve">5 </w:t>
      </w:r>
      <w:r>
        <w:rPr>
          <w:rFonts w:ascii="黑体" w:eastAsia="黑体" w:hAnsi="黑体" w:cs="黑体" w:hint="eastAsia"/>
          <w:sz w:val="32"/>
          <w:szCs w:val="32"/>
        </w:rPr>
        <w:t>重大分歧意见的处理经过和依据</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无。</w:t>
      </w:r>
    </w:p>
    <w:p w:rsidR="005F266A" w:rsidRDefault="00D768AD">
      <w:pPr>
        <w:pStyle w:val="1"/>
        <w:spacing w:before="120" w:after="120" w:line="240" w:lineRule="auto"/>
        <w:rPr>
          <w:rFonts w:ascii="黑体" w:eastAsia="黑体" w:hAnsi="黑体" w:cs="黑体"/>
          <w:sz w:val="32"/>
          <w:szCs w:val="32"/>
        </w:rPr>
      </w:pPr>
      <w:r>
        <w:rPr>
          <w:rFonts w:ascii="黑体" w:eastAsia="黑体" w:hAnsi="黑体" w:cs="黑体" w:hint="eastAsia"/>
          <w:sz w:val="32"/>
          <w:szCs w:val="32"/>
        </w:rPr>
        <w:t xml:space="preserve">6 </w:t>
      </w:r>
      <w:r>
        <w:rPr>
          <w:rFonts w:ascii="黑体" w:eastAsia="黑体" w:hAnsi="黑体" w:cs="黑体" w:hint="eastAsia"/>
          <w:sz w:val="32"/>
          <w:szCs w:val="32"/>
        </w:rPr>
        <w:t>涉及专利的有关说明</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本规范不涉及专利。</w:t>
      </w:r>
    </w:p>
    <w:bookmarkEnd w:id="7"/>
    <w:bookmarkEnd w:id="8"/>
    <w:p w:rsidR="005F266A" w:rsidRDefault="00D768AD">
      <w:pPr>
        <w:pStyle w:val="1"/>
        <w:spacing w:before="120" w:after="120" w:line="240" w:lineRule="auto"/>
        <w:rPr>
          <w:rFonts w:ascii="黑体" w:eastAsia="黑体" w:hAnsi="黑体" w:cs="黑体"/>
          <w:sz w:val="32"/>
          <w:szCs w:val="32"/>
        </w:rPr>
      </w:pPr>
      <w:r>
        <w:rPr>
          <w:rFonts w:ascii="黑体" w:eastAsia="黑体" w:hAnsi="黑体" w:cs="黑体" w:hint="eastAsia"/>
          <w:sz w:val="32"/>
          <w:szCs w:val="32"/>
        </w:rPr>
        <w:t xml:space="preserve">7 </w:t>
      </w:r>
      <w:r>
        <w:rPr>
          <w:rFonts w:ascii="黑体" w:eastAsia="黑体" w:hAnsi="黑体" w:cs="黑体" w:hint="eastAsia"/>
          <w:sz w:val="32"/>
          <w:szCs w:val="32"/>
        </w:rPr>
        <w:t>其他应当说明的事项</w:t>
      </w:r>
    </w:p>
    <w:p w:rsidR="005F266A" w:rsidRDefault="00D768AD">
      <w:pPr>
        <w:spacing w:line="360" w:lineRule="auto"/>
        <w:ind w:firstLineChars="163" w:firstLine="391"/>
        <w:jc w:val="left"/>
        <w:rPr>
          <w:rFonts w:asciiTheme="minorEastAsia" w:eastAsiaTheme="minorEastAsia" w:hAnsiTheme="minorEastAsia"/>
          <w:sz w:val="24"/>
        </w:rPr>
      </w:pPr>
      <w:r>
        <w:rPr>
          <w:rFonts w:asciiTheme="minorEastAsia" w:eastAsiaTheme="minorEastAsia" w:hAnsiTheme="minorEastAsia" w:hint="eastAsia"/>
          <w:sz w:val="24"/>
        </w:rPr>
        <w:t>无。</w:t>
      </w:r>
    </w:p>
    <w:p w:rsidR="005F266A" w:rsidRDefault="005F266A">
      <w:pPr>
        <w:spacing w:line="600" w:lineRule="exact"/>
        <w:ind w:firstLineChars="200" w:firstLine="560"/>
        <w:rPr>
          <w:rFonts w:eastAsia="仿宋_GB2312"/>
          <w:sz w:val="28"/>
          <w:szCs w:val="28"/>
        </w:rPr>
      </w:pPr>
    </w:p>
    <w:p w:rsidR="005F266A" w:rsidRDefault="00D768AD">
      <w:pPr>
        <w:spacing w:line="600" w:lineRule="exact"/>
        <w:ind w:firstLineChars="200" w:firstLine="560"/>
        <w:jc w:val="center"/>
        <w:rPr>
          <w:rFonts w:eastAsia="仿宋_GB2312"/>
          <w:sz w:val="28"/>
          <w:szCs w:val="28"/>
          <w:u w:val="single"/>
        </w:rPr>
      </w:pPr>
      <w:r>
        <w:rPr>
          <w:rFonts w:eastAsia="仿宋_GB2312" w:hint="eastAsia"/>
          <w:noProof/>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1803400</wp:posOffset>
                </wp:positionH>
                <wp:positionV relativeFrom="paragraph">
                  <wp:posOffset>240030</wp:posOffset>
                </wp:positionV>
                <wp:extent cx="2183130" cy="11430"/>
                <wp:effectExtent l="0" t="0" r="26670" b="26670"/>
                <wp:wrapNone/>
                <wp:docPr id="1515009927" name="直接连接符 2"/>
                <wp:cNvGraphicFramePr/>
                <a:graphic xmlns:a="http://schemas.openxmlformats.org/drawingml/2006/main">
                  <a:graphicData uri="http://schemas.microsoft.com/office/word/2010/wordprocessingShape">
                    <wps:wsp>
                      <wps:cNvCnPr/>
                      <wps:spPr>
                        <a:xfrm>
                          <a:off x="0" y="0"/>
                          <a:ext cx="2183130" cy="114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F05D45"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42pt,18.9pt" to="313.9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" strokecolor="black [3040]"/>
            </w:pict>
          </mc:Fallback>
        </mc:AlternateContent>
      </w:r>
    </w:p>
    <w:p w:rsidR="005F266A" w:rsidRDefault="005F266A">
      <w:pPr>
        <w:spacing w:line="600" w:lineRule="exact"/>
        <w:ind w:firstLineChars="200" w:firstLine="560"/>
        <w:rPr>
          <w:rFonts w:eastAsia="仿宋_GB2312"/>
          <w:sz w:val="28"/>
          <w:szCs w:val="28"/>
        </w:rPr>
      </w:pPr>
    </w:p>
    <w:p w:rsidR="005F266A" w:rsidRDefault="005F266A">
      <w:pPr>
        <w:jc w:val="right"/>
        <w:rPr>
          <w:rFonts w:ascii="宋体" w:hAnsi="宋体" w:cs="宋体"/>
          <w:b/>
          <w:bCs/>
          <w:color w:val="000000"/>
          <w:kern w:val="0"/>
          <w:sz w:val="32"/>
          <w:szCs w:val="32"/>
        </w:rPr>
      </w:pPr>
    </w:p>
    <w:sectPr w:rsidR="005F266A">
      <w:footerReference w:type="default" r:id="rId9"/>
      <w:pgSz w:w="11906" w:h="16838"/>
      <w:pgMar w:top="1440" w:right="1797" w:bottom="1440" w:left="1797" w:header="851" w:footer="992"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8AD" w:rsidRDefault="00D768AD">
      <w:r>
        <w:separator/>
      </w:r>
    </w:p>
  </w:endnote>
  <w:endnote w:type="continuationSeparator" w:id="0">
    <w:p w:rsidR="00D768AD" w:rsidRDefault="00D7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584E1DDC-998C-42A6-964F-C780E8238EC3}"/>
    <w:embedBold r:id="rId2" w:subsetted="1" w:fontKey="{DFC097FF-07A3-436A-8E04-82C0EAE16BA5}"/>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script"/>
    <w:pitch w:val="default"/>
    <w:sig w:usb0="00000000" w:usb1="08000000" w:usb2="00000000" w:usb3="00000000" w:csb0="00040000" w:csb1="00000000"/>
  </w:font>
  <w:font w:name="方正仿宋简体">
    <w:altName w:val="微软雅黑"/>
    <w:charset w:val="86"/>
    <w:family w:val="auto"/>
    <w:pitch w:val="default"/>
    <w:sig w:usb0="00000000" w:usb1="00000000" w:usb2="00000012"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66A" w:rsidRDefault="005F266A">
    <w:pPr>
      <w:pStyle w:val="aff"/>
      <w:jc w:val="center"/>
      <w:rPr>
        <w:rFonts w:ascii="方正仿宋简体" w:eastAsia="方正仿宋简体"/>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66A" w:rsidRDefault="00D768AD">
    <w:pPr>
      <w:pStyle w:val="aff"/>
      <w:jc w:val="center"/>
      <w:rPr>
        <w:rFonts w:ascii="方正仿宋简体" w:eastAsia="方正仿宋简体"/>
        <w:sz w:val="32"/>
        <w:szCs w:val="32"/>
      </w:rPr>
    </w:pPr>
    <w:r>
      <w:rPr>
        <w:noProof/>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266A" w:rsidRDefault="005F266A">
                          <w:pPr>
                            <w:pStyle w:val="aff"/>
                          </w:pPr>
                        </w:p>
                        <w:p w:rsidR="005F266A" w:rsidRDefault="00D768AD">
                          <w:pPr>
                            <w:pStyle w:val="aff"/>
                          </w:pPr>
                          <w:r>
                            <w:t>第</w:t>
                          </w:r>
                          <w:r>
                            <w:t xml:space="preserve"> </w:t>
                          </w:r>
                          <w:r>
                            <w:fldChar w:fldCharType="begin"/>
                          </w:r>
                          <w:r>
                            <w:instrText xml:space="preserve"> PAGE  \* MERGEFORMAT </w:instrText>
                          </w:r>
                          <w:r>
                            <w:fldChar w:fldCharType="separate"/>
                          </w:r>
                          <w:r w:rsidR="00DF065F">
                            <w:rPr>
                              <w:noProof/>
                            </w:rPr>
                            <w:t>3</w:t>
                          </w:r>
                          <w:r>
                            <w:fldChar w:fldCharType="end"/>
                          </w:r>
                          <w:r>
                            <w:t xml:space="preserve"> </w:t>
                          </w:r>
                          <w:r>
                            <w:t>页</w:t>
                          </w:r>
                          <w:r>
                            <w:t xml:space="preserve"> </w:t>
                          </w:r>
                          <w:r>
                            <w:t>共</w:t>
                          </w:r>
                          <w:r>
                            <w:t xml:space="preserve"> </w:t>
                          </w:r>
                          <w:r>
                            <w:rPr>
                              <w:rFonts w:hint="eastAsia"/>
                            </w:rPr>
                            <w:t>10</w:t>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5F266A" w:rsidRDefault="005F266A">
                    <w:pPr>
                      <w:pStyle w:val="aff"/>
                    </w:pPr>
                  </w:p>
                  <w:p w:rsidR="005F266A" w:rsidRDefault="00D768AD">
                    <w:pPr>
                      <w:pStyle w:val="aff"/>
                    </w:pPr>
                    <w:r>
                      <w:t>第</w:t>
                    </w:r>
                    <w:r>
                      <w:t xml:space="preserve"> </w:t>
                    </w:r>
                    <w:r>
                      <w:fldChar w:fldCharType="begin"/>
                    </w:r>
                    <w:r>
                      <w:instrText xml:space="preserve"> PAGE  \* MERGEFORMAT </w:instrText>
                    </w:r>
                    <w:r>
                      <w:fldChar w:fldCharType="separate"/>
                    </w:r>
                    <w:r w:rsidR="00DF065F">
                      <w:rPr>
                        <w:noProof/>
                      </w:rPr>
                      <w:t>3</w:t>
                    </w:r>
                    <w:r>
                      <w:fldChar w:fldCharType="end"/>
                    </w:r>
                    <w:r>
                      <w:t xml:space="preserve"> </w:t>
                    </w:r>
                    <w:r>
                      <w:t>页</w:t>
                    </w:r>
                    <w:r>
                      <w:t xml:space="preserve"> </w:t>
                    </w:r>
                    <w:r>
                      <w:t>共</w:t>
                    </w:r>
                    <w:r>
                      <w:t xml:space="preserve"> </w:t>
                    </w:r>
                    <w:r>
                      <w:rPr>
                        <w:rFonts w:hint="eastAsia"/>
                      </w:rPr>
                      <w:t>10</w:t>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8AD" w:rsidRDefault="00D768AD">
      <w:r>
        <w:separator/>
      </w:r>
    </w:p>
  </w:footnote>
  <w:footnote w:type="continuationSeparator" w:id="0">
    <w:p w:rsidR="00D768AD" w:rsidRDefault="00D768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1D47A67"/>
    <w:multiLevelType w:val="singleLevel"/>
    <w:tmpl w:val="B1D47A67"/>
    <w:lvl w:ilvl="0">
      <w:start w:val="1"/>
      <w:numFmt w:val="decimalEnclosedCircleChinese"/>
      <w:suff w:val="nothing"/>
      <w:lvlText w:val="%1　"/>
      <w:lvlJc w:val="left"/>
      <w:pPr>
        <w:ind w:left="0" w:firstLine="400"/>
      </w:pPr>
      <w:rPr>
        <w:rFonts w:hint="eastAsia"/>
      </w:rPr>
    </w:lvl>
  </w:abstractNum>
  <w:abstractNum w:abstractNumId="1">
    <w:nsid w:val="B7D60A49"/>
    <w:multiLevelType w:val="singleLevel"/>
    <w:tmpl w:val="B7D60A49"/>
    <w:lvl w:ilvl="0">
      <w:start w:val="1"/>
      <w:numFmt w:val="decimalEnclosedCircleChinese"/>
      <w:suff w:val="nothing"/>
      <w:lvlText w:val="%1　"/>
      <w:lvlJc w:val="left"/>
      <w:pPr>
        <w:ind w:left="0" w:firstLine="400"/>
      </w:pPr>
      <w:rPr>
        <w:rFonts w:hint="eastAsia"/>
      </w:rPr>
    </w:lvl>
  </w:abstractNum>
  <w:abstractNum w:abstractNumId="2">
    <w:nsid w:val="EDDFAA22"/>
    <w:multiLevelType w:val="singleLevel"/>
    <w:tmpl w:val="EDDFAA22"/>
    <w:lvl w:ilvl="0">
      <w:start w:val="1"/>
      <w:numFmt w:val="decimal"/>
      <w:lvlText w:val="%1)"/>
      <w:lvlJc w:val="left"/>
      <w:pPr>
        <w:ind w:left="425" w:hanging="425"/>
      </w:pPr>
      <w:rPr>
        <w:rFonts w:hint="default"/>
      </w:rPr>
    </w:lvl>
  </w:abstractNum>
  <w:abstractNum w:abstractNumId="3">
    <w:nsid w:val="14474F2A"/>
    <w:multiLevelType w:val="singleLevel"/>
    <w:tmpl w:val="14474F2A"/>
    <w:lvl w:ilvl="0">
      <w:start w:val="1"/>
      <w:numFmt w:val="decimal"/>
      <w:lvlText w:val="%1)"/>
      <w:lvlJc w:val="left"/>
      <w:pPr>
        <w:ind w:left="425" w:hanging="425"/>
      </w:pPr>
      <w:rPr>
        <w:rFonts w:hint="default"/>
      </w:rPr>
    </w:lvl>
  </w:abstractNum>
  <w:abstractNum w:abstractNumId="4">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55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993" w:firstLine="0"/>
      </w:pPr>
      <w:rPr>
        <w:rFonts w:ascii="黑体" w:eastAsia="黑体" w:hAnsi="Times New Roman" w:hint="eastAsia"/>
        <w:b w:val="0"/>
        <w:i w:val="0"/>
        <w:sz w:val="21"/>
      </w:rPr>
    </w:lvl>
    <w:lvl w:ilvl="3">
      <w:start w:val="1"/>
      <w:numFmt w:val="lowerLetter"/>
      <w:pStyle w:val="a2"/>
      <w:suff w:val="nothing"/>
      <w:lvlText w:val="%4）"/>
      <w:lvlJc w:val="left"/>
      <w:pPr>
        <w:ind w:left="426" w:firstLine="0"/>
      </w:pPr>
      <w:rPr>
        <w:rFonts w:ascii="黑体" w:eastAsia="黑体" w:hAnsi="Times New Roman" w:cs="Times New Roman"/>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2C5917C3"/>
    <w:multiLevelType w:val="multilevel"/>
    <w:tmpl w:val="2C5917C3"/>
    <w:lvl w:ilvl="0">
      <w:start w:val="1"/>
      <w:numFmt w:val="none"/>
      <w:pStyle w:val="a5"/>
      <w:suff w:val="nothing"/>
      <w:lvlText w:val="%1——"/>
      <w:lvlJc w:val="left"/>
      <w:pPr>
        <w:ind w:left="4094" w:hanging="408"/>
      </w:pPr>
      <w:rPr>
        <w:rFonts w:hint="eastAsia"/>
        <w:lang w:val="en-US"/>
      </w:rPr>
    </w:lvl>
    <w:lvl w:ilvl="1">
      <w:start w:val="1"/>
      <w:numFmt w:val="bullet"/>
      <w:pStyle w:val="a6"/>
      <w:lvlText w:val=""/>
      <w:lvlJc w:val="left"/>
      <w:pPr>
        <w:tabs>
          <w:tab w:val="left" w:pos="760"/>
        </w:tabs>
        <w:ind w:left="1264" w:hanging="413"/>
      </w:pPr>
      <w:rPr>
        <w:rFonts w:ascii="Symbol" w:hAnsi="Symbol" w:hint="default"/>
        <w:color w:val="auto"/>
      </w:rPr>
    </w:lvl>
    <w:lvl w:ilvl="2">
      <w:start w:val="1"/>
      <w:numFmt w:val="bullet"/>
      <w:pStyle w:val="a7"/>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6">
    <w:nsid w:val="44C50F90"/>
    <w:multiLevelType w:val="multilevel"/>
    <w:tmpl w:val="44C50F90"/>
    <w:lvl w:ilvl="0">
      <w:start w:val="1"/>
      <w:numFmt w:val="lowerLetter"/>
      <w:pStyle w:val="a8"/>
      <w:lvlText w:val="%1)"/>
      <w:lvlJc w:val="left"/>
      <w:pPr>
        <w:tabs>
          <w:tab w:val="left" w:pos="840"/>
        </w:tabs>
        <w:ind w:left="839" w:hanging="419"/>
      </w:pPr>
      <w:rPr>
        <w:rFonts w:ascii="宋体" w:eastAsia="宋体" w:hint="eastAsia"/>
        <w:b w:val="0"/>
        <w:i w:val="0"/>
        <w:sz w:val="21"/>
        <w:szCs w:val="21"/>
      </w:rPr>
    </w:lvl>
    <w:lvl w:ilvl="1">
      <w:start w:val="1"/>
      <w:numFmt w:val="decimal"/>
      <w:pStyle w:val="a9"/>
      <w:lvlText w:val="%2)"/>
      <w:lvlJc w:val="left"/>
      <w:pPr>
        <w:tabs>
          <w:tab w:val="left" w:pos="1260"/>
        </w:tabs>
        <w:ind w:left="1259" w:hanging="419"/>
      </w:pPr>
      <w:rPr>
        <w:rFonts w:hint="eastAsia"/>
      </w:rPr>
    </w:lvl>
    <w:lvl w:ilvl="2">
      <w:start w:val="1"/>
      <w:numFmt w:val="decimal"/>
      <w:pStyle w:val="aa"/>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nsid w:val="4C112147"/>
    <w:multiLevelType w:val="singleLevel"/>
    <w:tmpl w:val="4C112147"/>
    <w:lvl w:ilvl="0">
      <w:start w:val="1"/>
      <w:numFmt w:val="decimal"/>
      <w:lvlText w:val="%1)"/>
      <w:lvlJc w:val="left"/>
      <w:pPr>
        <w:ind w:left="425" w:hanging="425"/>
      </w:pPr>
      <w:rPr>
        <w:rFonts w:hint="default"/>
      </w:rPr>
    </w:lvl>
  </w:abstractNum>
  <w:abstractNum w:abstractNumId="8">
    <w:nsid w:val="60B55DC2"/>
    <w:multiLevelType w:val="multilevel"/>
    <w:tmpl w:val="60B55DC2"/>
    <w:lvl w:ilvl="0">
      <w:start w:val="1"/>
      <w:numFmt w:val="upperLetter"/>
      <w:pStyle w:val="ab"/>
      <w:lvlText w:val="%1"/>
      <w:lvlJc w:val="left"/>
      <w:pPr>
        <w:tabs>
          <w:tab w:val="left" w:pos="0"/>
        </w:tabs>
        <w:ind w:left="0" w:hanging="425"/>
      </w:pPr>
      <w:rPr>
        <w:rFonts w:hint="eastAsia"/>
      </w:rPr>
    </w:lvl>
    <w:lvl w:ilvl="1">
      <w:start w:val="1"/>
      <w:numFmt w:val="decimal"/>
      <w:pStyle w:val="ac"/>
      <w:suff w:val="nothing"/>
      <w:lvlText w:val="表%1.%2　"/>
      <w:lvlJc w:val="left"/>
      <w:pPr>
        <w:ind w:left="1985"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9">
    <w:nsid w:val="6CEA2025"/>
    <w:multiLevelType w:val="multilevel"/>
    <w:tmpl w:val="6CEA2025"/>
    <w:lvl w:ilvl="0">
      <w:start w:val="1"/>
      <w:numFmt w:val="none"/>
      <w:pStyle w:val="ad"/>
      <w:suff w:val="nothing"/>
      <w:lvlText w:val="%1"/>
      <w:lvlJc w:val="left"/>
      <w:pPr>
        <w:ind w:left="0" w:firstLine="0"/>
      </w:pPr>
      <w:rPr>
        <w:rFonts w:hint="eastAsia"/>
      </w:rPr>
    </w:lvl>
    <w:lvl w:ilvl="1">
      <w:start w:val="1"/>
      <w:numFmt w:val="decimal"/>
      <w:pStyle w:val="ae"/>
      <w:suff w:val="nothing"/>
      <w:lvlText w:val="%1%2　"/>
      <w:lvlJc w:val="left"/>
      <w:pPr>
        <w:ind w:left="0" w:firstLine="0"/>
      </w:pPr>
      <w:rPr>
        <w:rFonts w:ascii="黑体" w:eastAsia="黑体" w:hint="eastAsia"/>
        <w:b w:val="0"/>
        <w:i w:val="0"/>
        <w:sz w:val="21"/>
      </w:rPr>
    </w:lvl>
    <w:lvl w:ilvl="2">
      <w:start w:val="1"/>
      <w:numFmt w:val="decimal"/>
      <w:pStyle w:val="af"/>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0"/>
      <w:suff w:val="nothing"/>
      <w:lvlText w:val="%1%2.%3.%4　"/>
      <w:lvlJc w:val="left"/>
      <w:pPr>
        <w:ind w:left="1134" w:firstLine="0"/>
      </w:pPr>
      <w:rPr>
        <w:rFonts w:ascii="黑体" w:eastAsia="黑体" w:hint="eastAsia"/>
        <w:b w:val="0"/>
        <w:i w:val="0"/>
        <w:sz w:val="21"/>
      </w:rPr>
    </w:lvl>
    <w:lvl w:ilvl="4">
      <w:start w:val="1"/>
      <w:numFmt w:val="decimal"/>
      <w:pStyle w:val="af1"/>
      <w:suff w:val="nothing"/>
      <w:lvlText w:val="%1%2.%3.%4.%5　"/>
      <w:lvlJc w:val="left"/>
      <w:pPr>
        <w:ind w:left="0" w:firstLine="0"/>
      </w:pPr>
      <w:rPr>
        <w:rFonts w:ascii="黑体" w:eastAsia="黑体" w:hint="eastAsia"/>
        <w:b w:val="0"/>
        <w:i w:val="0"/>
        <w:sz w:val="21"/>
      </w:rPr>
    </w:lvl>
    <w:lvl w:ilvl="5">
      <w:start w:val="1"/>
      <w:numFmt w:val="decimal"/>
      <w:pStyle w:val="af2"/>
      <w:suff w:val="nothing"/>
      <w:lvlText w:val="%1%2.%3.%4.%5.%6　"/>
      <w:lvlJc w:val="left"/>
      <w:pPr>
        <w:ind w:left="0" w:firstLine="0"/>
      </w:pPr>
      <w:rPr>
        <w:rFonts w:ascii="黑体" w:eastAsia="黑体" w:hint="eastAsia"/>
        <w:b w:val="0"/>
        <w:i w:val="0"/>
        <w:sz w:val="21"/>
      </w:rPr>
    </w:lvl>
    <w:lvl w:ilvl="6">
      <w:start w:val="1"/>
      <w:numFmt w:val="decimal"/>
      <w:pStyle w:val="a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start w:val="1"/>
      <w:numFmt w:val="none"/>
      <w:pStyle w:val="af4"/>
      <w:lvlText w:val="%1注："/>
      <w:lvlJc w:val="left"/>
      <w:pPr>
        <w:ind w:left="1933"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4"/>
  </w:num>
  <w:num w:numId="3">
    <w:abstractNumId w:val="5"/>
  </w:num>
  <w:num w:numId="4">
    <w:abstractNumId w:val="6"/>
  </w:num>
  <w:num w:numId="5">
    <w:abstractNumId w:val="9"/>
  </w:num>
  <w:num w:numId="6">
    <w:abstractNumId w:val="10"/>
  </w:num>
  <w:num w:numId="7">
    <w:abstractNumId w:val="2"/>
  </w:num>
  <w:num w:numId="8">
    <w:abstractNumId w:val="1"/>
  </w:num>
  <w:num w:numId="9">
    <w:abstractNumId w:val="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MzBiNzkzNDI4YmQyYWQzNGUyNWU2MTg5ODA4MmEifQ=="/>
  </w:docVars>
  <w:rsids>
    <w:rsidRoot w:val="00003A66"/>
    <w:rsid w:val="0000079C"/>
    <w:rsid w:val="00000E67"/>
    <w:rsid w:val="00002134"/>
    <w:rsid w:val="00002514"/>
    <w:rsid w:val="0000348F"/>
    <w:rsid w:val="00003A66"/>
    <w:rsid w:val="0000537C"/>
    <w:rsid w:val="00005CB7"/>
    <w:rsid w:val="000075BD"/>
    <w:rsid w:val="000103D8"/>
    <w:rsid w:val="000114E7"/>
    <w:rsid w:val="00011D1B"/>
    <w:rsid w:val="000130B3"/>
    <w:rsid w:val="00014FFB"/>
    <w:rsid w:val="00017C0B"/>
    <w:rsid w:val="0002414A"/>
    <w:rsid w:val="00026717"/>
    <w:rsid w:val="00026C3F"/>
    <w:rsid w:val="00026F68"/>
    <w:rsid w:val="00027587"/>
    <w:rsid w:val="000300D4"/>
    <w:rsid w:val="00030922"/>
    <w:rsid w:val="00033EBE"/>
    <w:rsid w:val="0003481D"/>
    <w:rsid w:val="00034A40"/>
    <w:rsid w:val="00034F36"/>
    <w:rsid w:val="00035B6A"/>
    <w:rsid w:val="00035C08"/>
    <w:rsid w:val="00036D49"/>
    <w:rsid w:val="0004181F"/>
    <w:rsid w:val="000423F8"/>
    <w:rsid w:val="0004324A"/>
    <w:rsid w:val="00044107"/>
    <w:rsid w:val="00044487"/>
    <w:rsid w:val="00044AE9"/>
    <w:rsid w:val="00046F05"/>
    <w:rsid w:val="000471AE"/>
    <w:rsid w:val="00047347"/>
    <w:rsid w:val="000513DF"/>
    <w:rsid w:val="000514BE"/>
    <w:rsid w:val="00051C9A"/>
    <w:rsid w:val="00052F8C"/>
    <w:rsid w:val="0005333B"/>
    <w:rsid w:val="00053B83"/>
    <w:rsid w:val="00053CE5"/>
    <w:rsid w:val="000541B9"/>
    <w:rsid w:val="00054F26"/>
    <w:rsid w:val="00055E83"/>
    <w:rsid w:val="00056AE1"/>
    <w:rsid w:val="00057B23"/>
    <w:rsid w:val="0006100F"/>
    <w:rsid w:val="000613A9"/>
    <w:rsid w:val="00061678"/>
    <w:rsid w:val="00062057"/>
    <w:rsid w:val="00063921"/>
    <w:rsid w:val="00064341"/>
    <w:rsid w:val="000648E1"/>
    <w:rsid w:val="000649E6"/>
    <w:rsid w:val="000676E3"/>
    <w:rsid w:val="000709F2"/>
    <w:rsid w:val="00071556"/>
    <w:rsid w:val="000715A5"/>
    <w:rsid w:val="000734A4"/>
    <w:rsid w:val="0007427D"/>
    <w:rsid w:val="00077A64"/>
    <w:rsid w:val="000809F1"/>
    <w:rsid w:val="00080D88"/>
    <w:rsid w:val="00081825"/>
    <w:rsid w:val="00081A63"/>
    <w:rsid w:val="00081C56"/>
    <w:rsid w:val="000822AE"/>
    <w:rsid w:val="00082D81"/>
    <w:rsid w:val="00083396"/>
    <w:rsid w:val="00084978"/>
    <w:rsid w:val="0008541D"/>
    <w:rsid w:val="00085826"/>
    <w:rsid w:val="000929E7"/>
    <w:rsid w:val="00092AF0"/>
    <w:rsid w:val="00092DDE"/>
    <w:rsid w:val="00096E5F"/>
    <w:rsid w:val="000971F8"/>
    <w:rsid w:val="000975DD"/>
    <w:rsid w:val="000A18C0"/>
    <w:rsid w:val="000A2078"/>
    <w:rsid w:val="000A2AB5"/>
    <w:rsid w:val="000A39C5"/>
    <w:rsid w:val="000A5598"/>
    <w:rsid w:val="000A6FBA"/>
    <w:rsid w:val="000A76B0"/>
    <w:rsid w:val="000B0FE2"/>
    <w:rsid w:val="000B107F"/>
    <w:rsid w:val="000B3323"/>
    <w:rsid w:val="000B5298"/>
    <w:rsid w:val="000B68BC"/>
    <w:rsid w:val="000B7B93"/>
    <w:rsid w:val="000B7BD5"/>
    <w:rsid w:val="000C1619"/>
    <w:rsid w:val="000C2675"/>
    <w:rsid w:val="000C3B54"/>
    <w:rsid w:val="000C52F4"/>
    <w:rsid w:val="000D02DA"/>
    <w:rsid w:val="000D45FB"/>
    <w:rsid w:val="000D4769"/>
    <w:rsid w:val="000D6721"/>
    <w:rsid w:val="000D673F"/>
    <w:rsid w:val="000E05DC"/>
    <w:rsid w:val="000E0AAC"/>
    <w:rsid w:val="000E304E"/>
    <w:rsid w:val="000E39DA"/>
    <w:rsid w:val="000E44CB"/>
    <w:rsid w:val="000E6E30"/>
    <w:rsid w:val="000F0707"/>
    <w:rsid w:val="000F374E"/>
    <w:rsid w:val="000F415A"/>
    <w:rsid w:val="000F787A"/>
    <w:rsid w:val="000F7A65"/>
    <w:rsid w:val="00100916"/>
    <w:rsid w:val="00100C3F"/>
    <w:rsid w:val="00101237"/>
    <w:rsid w:val="001027AE"/>
    <w:rsid w:val="001042DC"/>
    <w:rsid w:val="00105D6C"/>
    <w:rsid w:val="0010635D"/>
    <w:rsid w:val="00106739"/>
    <w:rsid w:val="00107973"/>
    <w:rsid w:val="00107B8E"/>
    <w:rsid w:val="00110A79"/>
    <w:rsid w:val="001111D2"/>
    <w:rsid w:val="00111FAA"/>
    <w:rsid w:val="001120E3"/>
    <w:rsid w:val="00112A57"/>
    <w:rsid w:val="001131B6"/>
    <w:rsid w:val="00113F75"/>
    <w:rsid w:val="0011440D"/>
    <w:rsid w:val="00115183"/>
    <w:rsid w:val="00115FDD"/>
    <w:rsid w:val="00116D9D"/>
    <w:rsid w:val="001216DB"/>
    <w:rsid w:val="0012257D"/>
    <w:rsid w:val="001269D3"/>
    <w:rsid w:val="001277BE"/>
    <w:rsid w:val="00130981"/>
    <w:rsid w:val="00130AF7"/>
    <w:rsid w:val="00130E46"/>
    <w:rsid w:val="00131420"/>
    <w:rsid w:val="00132DE3"/>
    <w:rsid w:val="00133CE3"/>
    <w:rsid w:val="00136B32"/>
    <w:rsid w:val="00143667"/>
    <w:rsid w:val="00143999"/>
    <w:rsid w:val="00143D37"/>
    <w:rsid w:val="00143EDF"/>
    <w:rsid w:val="00143F5C"/>
    <w:rsid w:val="0014569F"/>
    <w:rsid w:val="0014617E"/>
    <w:rsid w:val="001470CE"/>
    <w:rsid w:val="00150240"/>
    <w:rsid w:val="00150851"/>
    <w:rsid w:val="001508BE"/>
    <w:rsid w:val="00151E4B"/>
    <w:rsid w:val="00153854"/>
    <w:rsid w:val="0015447B"/>
    <w:rsid w:val="001549FF"/>
    <w:rsid w:val="00155358"/>
    <w:rsid w:val="00155679"/>
    <w:rsid w:val="001575E0"/>
    <w:rsid w:val="00161160"/>
    <w:rsid w:val="00161DE0"/>
    <w:rsid w:val="00162108"/>
    <w:rsid w:val="001646F9"/>
    <w:rsid w:val="00165AA8"/>
    <w:rsid w:val="00166D27"/>
    <w:rsid w:val="001679DE"/>
    <w:rsid w:val="00167FEC"/>
    <w:rsid w:val="00170234"/>
    <w:rsid w:val="00170277"/>
    <w:rsid w:val="00170AB0"/>
    <w:rsid w:val="0017169D"/>
    <w:rsid w:val="00171828"/>
    <w:rsid w:val="00172AA7"/>
    <w:rsid w:val="00172B69"/>
    <w:rsid w:val="00172FC2"/>
    <w:rsid w:val="001731F2"/>
    <w:rsid w:val="00173437"/>
    <w:rsid w:val="001738C8"/>
    <w:rsid w:val="0017449B"/>
    <w:rsid w:val="0017543E"/>
    <w:rsid w:val="00175593"/>
    <w:rsid w:val="00176F0A"/>
    <w:rsid w:val="00177606"/>
    <w:rsid w:val="0018088A"/>
    <w:rsid w:val="00180EA6"/>
    <w:rsid w:val="00182611"/>
    <w:rsid w:val="00183338"/>
    <w:rsid w:val="00184BFC"/>
    <w:rsid w:val="00187BBE"/>
    <w:rsid w:val="0019178C"/>
    <w:rsid w:val="0019217B"/>
    <w:rsid w:val="00192944"/>
    <w:rsid w:val="00196459"/>
    <w:rsid w:val="001A04DE"/>
    <w:rsid w:val="001A1C12"/>
    <w:rsid w:val="001A51DE"/>
    <w:rsid w:val="001A52A9"/>
    <w:rsid w:val="001A54A9"/>
    <w:rsid w:val="001A6410"/>
    <w:rsid w:val="001A73DF"/>
    <w:rsid w:val="001B0587"/>
    <w:rsid w:val="001B2DD9"/>
    <w:rsid w:val="001B3445"/>
    <w:rsid w:val="001B52C2"/>
    <w:rsid w:val="001B550B"/>
    <w:rsid w:val="001B5F8A"/>
    <w:rsid w:val="001B61C8"/>
    <w:rsid w:val="001B71B9"/>
    <w:rsid w:val="001C03F4"/>
    <w:rsid w:val="001C07D0"/>
    <w:rsid w:val="001C1589"/>
    <w:rsid w:val="001C2A61"/>
    <w:rsid w:val="001C2E26"/>
    <w:rsid w:val="001C5170"/>
    <w:rsid w:val="001C5A7A"/>
    <w:rsid w:val="001C5E76"/>
    <w:rsid w:val="001C5FC1"/>
    <w:rsid w:val="001C600F"/>
    <w:rsid w:val="001C7599"/>
    <w:rsid w:val="001C7FC7"/>
    <w:rsid w:val="001D0C45"/>
    <w:rsid w:val="001D3D20"/>
    <w:rsid w:val="001D5C86"/>
    <w:rsid w:val="001D604D"/>
    <w:rsid w:val="001D7797"/>
    <w:rsid w:val="001D7BF0"/>
    <w:rsid w:val="001E09B4"/>
    <w:rsid w:val="001E155E"/>
    <w:rsid w:val="001E4FF7"/>
    <w:rsid w:val="001E5454"/>
    <w:rsid w:val="001E6D7F"/>
    <w:rsid w:val="001E77A7"/>
    <w:rsid w:val="001F0523"/>
    <w:rsid w:val="001F18D4"/>
    <w:rsid w:val="001F2D72"/>
    <w:rsid w:val="001F38F3"/>
    <w:rsid w:val="001F436A"/>
    <w:rsid w:val="001F44C0"/>
    <w:rsid w:val="001F4966"/>
    <w:rsid w:val="001F5F99"/>
    <w:rsid w:val="001F7F33"/>
    <w:rsid w:val="0020025B"/>
    <w:rsid w:val="0020083A"/>
    <w:rsid w:val="00201E57"/>
    <w:rsid w:val="00202527"/>
    <w:rsid w:val="00206D6A"/>
    <w:rsid w:val="00210C73"/>
    <w:rsid w:val="00211023"/>
    <w:rsid w:val="00212E29"/>
    <w:rsid w:val="00212E94"/>
    <w:rsid w:val="00213509"/>
    <w:rsid w:val="00213562"/>
    <w:rsid w:val="00215078"/>
    <w:rsid w:val="002212B5"/>
    <w:rsid w:val="00223256"/>
    <w:rsid w:val="00223549"/>
    <w:rsid w:val="00223F19"/>
    <w:rsid w:val="0022507E"/>
    <w:rsid w:val="00225F41"/>
    <w:rsid w:val="00226872"/>
    <w:rsid w:val="00226E00"/>
    <w:rsid w:val="00226EF0"/>
    <w:rsid w:val="002272F8"/>
    <w:rsid w:val="0022781E"/>
    <w:rsid w:val="00230178"/>
    <w:rsid w:val="002314F5"/>
    <w:rsid w:val="00232B0D"/>
    <w:rsid w:val="00232C88"/>
    <w:rsid w:val="00233255"/>
    <w:rsid w:val="002333B4"/>
    <w:rsid w:val="00234334"/>
    <w:rsid w:val="002355E2"/>
    <w:rsid w:val="00235663"/>
    <w:rsid w:val="00236D80"/>
    <w:rsid w:val="00237709"/>
    <w:rsid w:val="00240840"/>
    <w:rsid w:val="0024173E"/>
    <w:rsid w:val="00241B2F"/>
    <w:rsid w:val="0024396E"/>
    <w:rsid w:val="00244AF8"/>
    <w:rsid w:val="0024562B"/>
    <w:rsid w:val="002461EF"/>
    <w:rsid w:val="002475F1"/>
    <w:rsid w:val="00250F38"/>
    <w:rsid w:val="00251084"/>
    <w:rsid w:val="0025389D"/>
    <w:rsid w:val="00254FCB"/>
    <w:rsid w:val="00256CB2"/>
    <w:rsid w:val="00257860"/>
    <w:rsid w:val="00257877"/>
    <w:rsid w:val="002579E4"/>
    <w:rsid w:val="00260D94"/>
    <w:rsid w:val="00261D43"/>
    <w:rsid w:val="002622EC"/>
    <w:rsid w:val="0026278F"/>
    <w:rsid w:val="00265688"/>
    <w:rsid w:val="00265ED4"/>
    <w:rsid w:val="00267481"/>
    <w:rsid w:val="0027098D"/>
    <w:rsid w:val="00271DA2"/>
    <w:rsid w:val="00272E70"/>
    <w:rsid w:val="002730A8"/>
    <w:rsid w:val="0027329D"/>
    <w:rsid w:val="00273569"/>
    <w:rsid w:val="00273625"/>
    <w:rsid w:val="00275189"/>
    <w:rsid w:val="00277749"/>
    <w:rsid w:val="00277FDE"/>
    <w:rsid w:val="00281C74"/>
    <w:rsid w:val="00281C9D"/>
    <w:rsid w:val="00282B25"/>
    <w:rsid w:val="002838FB"/>
    <w:rsid w:val="0028645F"/>
    <w:rsid w:val="00286763"/>
    <w:rsid w:val="00287078"/>
    <w:rsid w:val="00292C56"/>
    <w:rsid w:val="00293098"/>
    <w:rsid w:val="00294E3F"/>
    <w:rsid w:val="00296400"/>
    <w:rsid w:val="002A0BC1"/>
    <w:rsid w:val="002A30AD"/>
    <w:rsid w:val="002A35E4"/>
    <w:rsid w:val="002A3DC9"/>
    <w:rsid w:val="002A4539"/>
    <w:rsid w:val="002A4A91"/>
    <w:rsid w:val="002A5617"/>
    <w:rsid w:val="002A5644"/>
    <w:rsid w:val="002A5EAB"/>
    <w:rsid w:val="002A7A0D"/>
    <w:rsid w:val="002B05F4"/>
    <w:rsid w:val="002B2287"/>
    <w:rsid w:val="002B5A4C"/>
    <w:rsid w:val="002C0C19"/>
    <w:rsid w:val="002C0DE7"/>
    <w:rsid w:val="002C172B"/>
    <w:rsid w:val="002C191B"/>
    <w:rsid w:val="002C1FD2"/>
    <w:rsid w:val="002C2478"/>
    <w:rsid w:val="002C25FA"/>
    <w:rsid w:val="002C2A48"/>
    <w:rsid w:val="002C50EE"/>
    <w:rsid w:val="002C6845"/>
    <w:rsid w:val="002C7583"/>
    <w:rsid w:val="002D11C0"/>
    <w:rsid w:val="002D423D"/>
    <w:rsid w:val="002D5E41"/>
    <w:rsid w:val="002D6B00"/>
    <w:rsid w:val="002E20A2"/>
    <w:rsid w:val="002E56AA"/>
    <w:rsid w:val="002E5FC6"/>
    <w:rsid w:val="002E71A2"/>
    <w:rsid w:val="002E79FD"/>
    <w:rsid w:val="002F0222"/>
    <w:rsid w:val="002F0ADB"/>
    <w:rsid w:val="002F1E7C"/>
    <w:rsid w:val="002F2692"/>
    <w:rsid w:val="002F322B"/>
    <w:rsid w:val="002F3BFE"/>
    <w:rsid w:val="002F3E17"/>
    <w:rsid w:val="002F5172"/>
    <w:rsid w:val="002F6900"/>
    <w:rsid w:val="002F6AE7"/>
    <w:rsid w:val="0030201B"/>
    <w:rsid w:val="0030257E"/>
    <w:rsid w:val="0030343E"/>
    <w:rsid w:val="00303693"/>
    <w:rsid w:val="00303868"/>
    <w:rsid w:val="00304374"/>
    <w:rsid w:val="00305317"/>
    <w:rsid w:val="003063E8"/>
    <w:rsid w:val="00307A8C"/>
    <w:rsid w:val="0031210D"/>
    <w:rsid w:val="0031231C"/>
    <w:rsid w:val="00312484"/>
    <w:rsid w:val="0031280F"/>
    <w:rsid w:val="00313388"/>
    <w:rsid w:val="00313F3C"/>
    <w:rsid w:val="00314532"/>
    <w:rsid w:val="00316D0A"/>
    <w:rsid w:val="003177AA"/>
    <w:rsid w:val="00317ED4"/>
    <w:rsid w:val="003210C2"/>
    <w:rsid w:val="003215D3"/>
    <w:rsid w:val="0032392A"/>
    <w:rsid w:val="003241F2"/>
    <w:rsid w:val="00324583"/>
    <w:rsid w:val="00324922"/>
    <w:rsid w:val="00325AE2"/>
    <w:rsid w:val="00325C01"/>
    <w:rsid w:val="00326B85"/>
    <w:rsid w:val="00326ED8"/>
    <w:rsid w:val="003304DB"/>
    <w:rsid w:val="00330839"/>
    <w:rsid w:val="003309C0"/>
    <w:rsid w:val="00332F89"/>
    <w:rsid w:val="00334FED"/>
    <w:rsid w:val="00337D65"/>
    <w:rsid w:val="00340096"/>
    <w:rsid w:val="003405F6"/>
    <w:rsid w:val="00341724"/>
    <w:rsid w:val="0034212A"/>
    <w:rsid w:val="003425A5"/>
    <w:rsid w:val="00342747"/>
    <w:rsid w:val="00346427"/>
    <w:rsid w:val="00347978"/>
    <w:rsid w:val="00347A9E"/>
    <w:rsid w:val="003507F0"/>
    <w:rsid w:val="00350876"/>
    <w:rsid w:val="00351611"/>
    <w:rsid w:val="003526B4"/>
    <w:rsid w:val="003527FF"/>
    <w:rsid w:val="0036026B"/>
    <w:rsid w:val="003612CD"/>
    <w:rsid w:val="00361BDF"/>
    <w:rsid w:val="00361D32"/>
    <w:rsid w:val="003634B0"/>
    <w:rsid w:val="00363F74"/>
    <w:rsid w:val="00366F95"/>
    <w:rsid w:val="00370BA4"/>
    <w:rsid w:val="003710A2"/>
    <w:rsid w:val="00371363"/>
    <w:rsid w:val="00371553"/>
    <w:rsid w:val="003725A6"/>
    <w:rsid w:val="00373005"/>
    <w:rsid w:val="00373FDB"/>
    <w:rsid w:val="00375127"/>
    <w:rsid w:val="00375611"/>
    <w:rsid w:val="003761F8"/>
    <w:rsid w:val="003762F1"/>
    <w:rsid w:val="00376A74"/>
    <w:rsid w:val="00376C8B"/>
    <w:rsid w:val="00380385"/>
    <w:rsid w:val="00380E69"/>
    <w:rsid w:val="00381D9A"/>
    <w:rsid w:val="0038292B"/>
    <w:rsid w:val="0038494E"/>
    <w:rsid w:val="00391FBF"/>
    <w:rsid w:val="00393CCB"/>
    <w:rsid w:val="00393F85"/>
    <w:rsid w:val="00395FF0"/>
    <w:rsid w:val="00396CAB"/>
    <w:rsid w:val="003A0665"/>
    <w:rsid w:val="003A0A3F"/>
    <w:rsid w:val="003A1B97"/>
    <w:rsid w:val="003A3032"/>
    <w:rsid w:val="003A422F"/>
    <w:rsid w:val="003A4532"/>
    <w:rsid w:val="003A56BF"/>
    <w:rsid w:val="003A6681"/>
    <w:rsid w:val="003A70C9"/>
    <w:rsid w:val="003A7EC8"/>
    <w:rsid w:val="003B133B"/>
    <w:rsid w:val="003B1AF6"/>
    <w:rsid w:val="003B2002"/>
    <w:rsid w:val="003B37E6"/>
    <w:rsid w:val="003B396B"/>
    <w:rsid w:val="003B434E"/>
    <w:rsid w:val="003B47BF"/>
    <w:rsid w:val="003B4A3C"/>
    <w:rsid w:val="003B52BD"/>
    <w:rsid w:val="003B5FDD"/>
    <w:rsid w:val="003B619B"/>
    <w:rsid w:val="003B7914"/>
    <w:rsid w:val="003B7D12"/>
    <w:rsid w:val="003C0C01"/>
    <w:rsid w:val="003C0F42"/>
    <w:rsid w:val="003C1BF4"/>
    <w:rsid w:val="003C1FED"/>
    <w:rsid w:val="003C2730"/>
    <w:rsid w:val="003C293A"/>
    <w:rsid w:val="003C3086"/>
    <w:rsid w:val="003C3AA0"/>
    <w:rsid w:val="003C41A5"/>
    <w:rsid w:val="003C5B9B"/>
    <w:rsid w:val="003C74AE"/>
    <w:rsid w:val="003C79EA"/>
    <w:rsid w:val="003D15E9"/>
    <w:rsid w:val="003D1ECC"/>
    <w:rsid w:val="003D1FCC"/>
    <w:rsid w:val="003D2FEE"/>
    <w:rsid w:val="003D331C"/>
    <w:rsid w:val="003D45D6"/>
    <w:rsid w:val="003D4784"/>
    <w:rsid w:val="003D64DB"/>
    <w:rsid w:val="003D68B1"/>
    <w:rsid w:val="003D7C6F"/>
    <w:rsid w:val="003E0952"/>
    <w:rsid w:val="003E34AE"/>
    <w:rsid w:val="003F219C"/>
    <w:rsid w:val="003F3DA1"/>
    <w:rsid w:val="003F4146"/>
    <w:rsid w:val="003F49A6"/>
    <w:rsid w:val="003F5545"/>
    <w:rsid w:val="003F5A62"/>
    <w:rsid w:val="003F6D16"/>
    <w:rsid w:val="003F747E"/>
    <w:rsid w:val="004028D6"/>
    <w:rsid w:val="00402C52"/>
    <w:rsid w:val="00402EE5"/>
    <w:rsid w:val="00403EA2"/>
    <w:rsid w:val="00407D97"/>
    <w:rsid w:val="0041056F"/>
    <w:rsid w:val="004105EA"/>
    <w:rsid w:val="00411049"/>
    <w:rsid w:val="00412A83"/>
    <w:rsid w:val="00414B48"/>
    <w:rsid w:val="004161E2"/>
    <w:rsid w:val="00416313"/>
    <w:rsid w:val="00416331"/>
    <w:rsid w:val="00416E27"/>
    <w:rsid w:val="004248F5"/>
    <w:rsid w:val="0042648F"/>
    <w:rsid w:val="00426831"/>
    <w:rsid w:val="004268B7"/>
    <w:rsid w:val="00431150"/>
    <w:rsid w:val="00431CE8"/>
    <w:rsid w:val="00432B87"/>
    <w:rsid w:val="00434215"/>
    <w:rsid w:val="004349D4"/>
    <w:rsid w:val="0043503E"/>
    <w:rsid w:val="004404B3"/>
    <w:rsid w:val="004406C7"/>
    <w:rsid w:val="00442089"/>
    <w:rsid w:val="0044227B"/>
    <w:rsid w:val="0044346E"/>
    <w:rsid w:val="00443722"/>
    <w:rsid w:val="00444482"/>
    <w:rsid w:val="0044606D"/>
    <w:rsid w:val="004465A5"/>
    <w:rsid w:val="00446957"/>
    <w:rsid w:val="004521C0"/>
    <w:rsid w:val="004523CF"/>
    <w:rsid w:val="00452AA0"/>
    <w:rsid w:val="00456946"/>
    <w:rsid w:val="00456D9B"/>
    <w:rsid w:val="00460837"/>
    <w:rsid w:val="004609B8"/>
    <w:rsid w:val="00461325"/>
    <w:rsid w:val="00462907"/>
    <w:rsid w:val="00462B19"/>
    <w:rsid w:val="00463338"/>
    <w:rsid w:val="00463789"/>
    <w:rsid w:val="004641F5"/>
    <w:rsid w:val="004643AA"/>
    <w:rsid w:val="0046557D"/>
    <w:rsid w:val="00465A71"/>
    <w:rsid w:val="00466E55"/>
    <w:rsid w:val="00466E9F"/>
    <w:rsid w:val="00471C07"/>
    <w:rsid w:val="00471D51"/>
    <w:rsid w:val="00472D4F"/>
    <w:rsid w:val="00475644"/>
    <w:rsid w:val="00475C19"/>
    <w:rsid w:val="0047714F"/>
    <w:rsid w:val="004778C3"/>
    <w:rsid w:val="00477978"/>
    <w:rsid w:val="00477E6C"/>
    <w:rsid w:val="0048130A"/>
    <w:rsid w:val="00481880"/>
    <w:rsid w:val="00481BB3"/>
    <w:rsid w:val="00481BCD"/>
    <w:rsid w:val="0048286E"/>
    <w:rsid w:val="004835DC"/>
    <w:rsid w:val="00484683"/>
    <w:rsid w:val="0048469C"/>
    <w:rsid w:val="00486DA2"/>
    <w:rsid w:val="0048795F"/>
    <w:rsid w:val="00487A45"/>
    <w:rsid w:val="004905D9"/>
    <w:rsid w:val="0049161A"/>
    <w:rsid w:val="00492448"/>
    <w:rsid w:val="00492694"/>
    <w:rsid w:val="00492A03"/>
    <w:rsid w:val="004930B2"/>
    <w:rsid w:val="00493C3A"/>
    <w:rsid w:val="00493C4C"/>
    <w:rsid w:val="00494028"/>
    <w:rsid w:val="0049418F"/>
    <w:rsid w:val="00495C25"/>
    <w:rsid w:val="00497AF5"/>
    <w:rsid w:val="004A194D"/>
    <w:rsid w:val="004A6023"/>
    <w:rsid w:val="004A6329"/>
    <w:rsid w:val="004A75C9"/>
    <w:rsid w:val="004B0446"/>
    <w:rsid w:val="004B0616"/>
    <w:rsid w:val="004B47D5"/>
    <w:rsid w:val="004B488F"/>
    <w:rsid w:val="004B6D90"/>
    <w:rsid w:val="004C27EB"/>
    <w:rsid w:val="004C28DD"/>
    <w:rsid w:val="004C3A08"/>
    <w:rsid w:val="004C6B65"/>
    <w:rsid w:val="004C769D"/>
    <w:rsid w:val="004C7AAC"/>
    <w:rsid w:val="004D263C"/>
    <w:rsid w:val="004D276E"/>
    <w:rsid w:val="004D49E4"/>
    <w:rsid w:val="004D559E"/>
    <w:rsid w:val="004D5FDB"/>
    <w:rsid w:val="004D6B2F"/>
    <w:rsid w:val="004D6DCE"/>
    <w:rsid w:val="004D6F79"/>
    <w:rsid w:val="004D7D81"/>
    <w:rsid w:val="004E03FD"/>
    <w:rsid w:val="004E06FD"/>
    <w:rsid w:val="004E3C26"/>
    <w:rsid w:val="004E4797"/>
    <w:rsid w:val="004E6CC4"/>
    <w:rsid w:val="004E6E0A"/>
    <w:rsid w:val="004E7084"/>
    <w:rsid w:val="004F0066"/>
    <w:rsid w:val="004F0700"/>
    <w:rsid w:val="004F1665"/>
    <w:rsid w:val="004F2CA6"/>
    <w:rsid w:val="004F4F9A"/>
    <w:rsid w:val="004F5503"/>
    <w:rsid w:val="004F5812"/>
    <w:rsid w:val="004F6083"/>
    <w:rsid w:val="00500C53"/>
    <w:rsid w:val="00503244"/>
    <w:rsid w:val="00504780"/>
    <w:rsid w:val="00504CAD"/>
    <w:rsid w:val="00506119"/>
    <w:rsid w:val="00507BAF"/>
    <w:rsid w:val="005101E0"/>
    <w:rsid w:val="0051235B"/>
    <w:rsid w:val="0051393B"/>
    <w:rsid w:val="00513A49"/>
    <w:rsid w:val="0051499E"/>
    <w:rsid w:val="00514AB2"/>
    <w:rsid w:val="00514F56"/>
    <w:rsid w:val="00515C16"/>
    <w:rsid w:val="005166A9"/>
    <w:rsid w:val="00521F11"/>
    <w:rsid w:val="00522BD6"/>
    <w:rsid w:val="00524FB4"/>
    <w:rsid w:val="00527819"/>
    <w:rsid w:val="005279CD"/>
    <w:rsid w:val="00532751"/>
    <w:rsid w:val="005334FD"/>
    <w:rsid w:val="00536CC6"/>
    <w:rsid w:val="005378D6"/>
    <w:rsid w:val="00541347"/>
    <w:rsid w:val="005416B7"/>
    <w:rsid w:val="00541B47"/>
    <w:rsid w:val="005443CC"/>
    <w:rsid w:val="00546D5A"/>
    <w:rsid w:val="005476EF"/>
    <w:rsid w:val="0055236F"/>
    <w:rsid w:val="005526AD"/>
    <w:rsid w:val="00552FA4"/>
    <w:rsid w:val="00555B06"/>
    <w:rsid w:val="00555BF7"/>
    <w:rsid w:val="005562F8"/>
    <w:rsid w:val="005568D0"/>
    <w:rsid w:val="005620ED"/>
    <w:rsid w:val="00563F6D"/>
    <w:rsid w:val="005656DD"/>
    <w:rsid w:val="00566079"/>
    <w:rsid w:val="00566E3D"/>
    <w:rsid w:val="00566F5C"/>
    <w:rsid w:val="00570935"/>
    <w:rsid w:val="00571592"/>
    <w:rsid w:val="0057460A"/>
    <w:rsid w:val="005749D0"/>
    <w:rsid w:val="00580C56"/>
    <w:rsid w:val="00583E37"/>
    <w:rsid w:val="00584D65"/>
    <w:rsid w:val="0058633A"/>
    <w:rsid w:val="00586B69"/>
    <w:rsid w:val="00587066"/>
    <w:rsid w:val="00590381"/>
    <w:rsid w:val="00590ABF"/>
    <w:rsid w:val="005918FF"/>
    <w:rsid w:val="00592528"/>
    <w:rsid w:val="00592F6E"/>
    <w:rsid w:val="00593476"/>
    <w:rsid w:val="00594B58"/>
    <w:rsid w:val="0059576C"/>
    <w:rsid w:val="005957F0"/>
    <w:rsid w:val="00596EAD"/>
    <w:rsid w:val="00597414"/>
    <w:rsid w:val="00597E96"/>
    <w:rsid w:val="005A027E"/>
    <w:rsid w:val="005A41E3"/>
    <w:rsid w:val="005A44A4"/>
    <w:rsid w:val="005A7C23"/>
    <w:rsid w:val="005B0AF1"/>
    <w:rsid w:val="005B0ED7"/>
    <w:rsid w:val="005B1888"/>
    <w:rsid w:val="005B24F2"/>
    <w:rsid w:val="005B2DB9"/>
    <w:rsid w:val="005B4861"/>
    <w:rsid w:val="005B5958"/>
    <w:rsid w:val="005B710C"/>
    <w:rsid w:val="005B77E9"/>
    <w:rsid w:val="005B7884"/>
    <w:rsid w:val="005B7B5A"/>
    <w:rsid w:val="005C48C7"/>
    <w:rsid w:val="005C6EA0"/>
    <w:rsid w:val="005C7333"/>
    <w:rsid w:val="005C7A12"/>
    <w:rsid w:val="005D16E0"/>
    <w:rsid w:val="005D18A4"/>
    <w:rsid w:val="005D3AED"/>
    <w:rsid w:val="005D4F99"/>
    <w:rsid w:val="005D53D4"/>
    <w:rsid w:val="005D588D"/>
    <w:rsid w:val="005E257F"/>
    <w:rsid w:val="005E6260"/>
    <w:rsid w:val="005E6417"/>
    <w:rsid w:val="005E70CC"/>
    <w:rsid w:val="005F13C1"/>
    <w:rsid w:val="005F1708"/>
    <w:rsid w:val="005F191F"/>
    <w:rsid w:val="005F19C3"/>
    <w:rsid w:val="005F1F22"/>
    <w:rsid w:val="005F266A"/>
    <w:rsid w:val="005F4EE9"/>
    <w:rsid w:val="005F4F5C"/>
    <w:rsid w:val="005F57A5"/>
    <w:rsid w:val="005F768D"/>
    <w:rsid w:val="006012E5"/>
    <w:rsid w:val="00601C2B"/>
    <w:rsid w:val="00603EA7"/>
    <w:rsid w:val="006046A9"/>
    <w:rsid w:val="00606CBC"/>
    <w:rsid w:val="00606E85"/>
    <w:rsid w:val="006073EB"/>
    <w:rsid w:val="0061001E"/>
    <w:rsid w:val="00610ECC"/>
    <w:rsid w:val="00612294"/>
    <w:rsid w:val="006130D5"/>
    <w:rsid w:val="00614A02"/>
    <w:rsid w:val="0061653E"/>
    <w:rsid w:val="006212C6"/>
    <w:rsid w:val="00621E6B"/>
    <w:rsid w:val="006239F6"/>
    <w:rsid w:val="00624DD0"/>
    <w:rsid w:val="00625D45"/>
    <w:rsid w:val="00626EC3"/>
    <w:rsid w:val="00630B2F"/>
    <w:rsid w:val="0063109A"/>
    <w:rsid w:val="0063242A"/>
    <w:rsid w:val="006324B8"/>
    <w:rsid w:val="0063466E"/>
    <w:rsid w:val="0063614A"/>
    <w:rsid w:val="00636281"/>
    <w:rsid w:val="00636B09"/>
    <w:rsid w:val="006370CF"/>
    <w:rsid w:val="00637390"/>
    <w:rsid w:val="006415EC"/>
    <w:rsid w:val="00641767"/>
    <w:rsid w:val="00641A44"/>
    <w:rsid w:val="00642506"/>
    <w:rsid w:val="00644DB7"/>
    <w:rsid w:val="0064685E"/>
    <w:rsid w:val="00646BB2"/>
    <w:rsid w:val="00650A7F"/>
    <w:rsid w:val="00651B89"/>
    <w:rsid w:val="00651C43"/>
    <w:rsid w:val="00652897"/>
    <w:rsid w:val="00653155"/>
    <w:rsid w:val="0065459D"/>
    <w:rsid w:val="00654624"/>
    <w:rsid w:val="00654C60"/>
    <w:rsid w:val="0065764B"/>
    <w:rsid w:val="006576EE"/>
    <w:rsid w:val="00660BAF"/>
    <w:rsid w:val="0066200A"/>
    <w:rsid w:val="00663BB0"/>
    <w:rsid w:val="006640BB"/>
    <w:rsid w:val="00664124"/>
    <w:rsid w:val="00664F88"/>
    <w:rsid w:val="00665F03"/>
    <w:rsid w:val="00667763"/>
    <w:rsid w:val="00670EF9"/>
    <w:rsid w:val="006711B2"/>
    <w:rsid w:val="00674412"/>
    <w:rsid w:val="00674E94"/>
    <w:rsid w:val="00674FA4"/>
    <w:rsid w:val="006774EB"/>
    <w:rsid w:val="006801B4"/>
    <w:rsid w:val="00681A9E"/>
    <w:rsid w:val="00684DC2"/>
    <w:rsid w:val="00686F91"/>
    <w:rsid w:val="006872AB"/>
    <w:rsid w:val="006907D7"/>
    <w:rsid w:val="00692A13"/>
    <w:rsid w:val="00692FC6"/>
    <w:rsid w:val="006953AF"/>
    <w:rsid w:val="00695767"/>
    <w:rsid w:val="00695AA7"/>
    <w:rsid w:val="006960FF"/>
    <w:rsid w:val="00696767"/>
    <w:rsid w:val="006A008D"/>
    <w:rsid w:val="006A042A"/>
    <w:rsid w:val="006A1C89"/>
    <w:rsid w:val="006A2B38"/>
    <w:rsid w:val="006A5127"/>
    <w:rsid w:val="006B07D8"/>
    <w:rsid w:val="006B12F7"/>
    <w:rsid w:val="006B1562"/>
    <w:rsid w:val="006B1F89"/>
    <w:rsid w:val="006B2853"/>
    <w:rsid w:val="006B2C88"/>
    <w:rsid w:val="006B305D"/>
    <w:rsid w:val="006B3683"/>
    <w:rsid w:val="006B553D"/>
    <w:rsid w:val="006B5CF8"/>
    <w:rsid w:val="006B6653"/>
    <w:rsid w:val="006B736C"/>
    <w:rsid w:val="006B7E30"/>
    <w:rsid w:val="006C04B4"/>
    <w:rsid w:val="006C0937"/>
    <w:rsid w:val="006C2697"/>
    <w:rsid w:val="006C3837"/>
    <w:rsid w:val="006C3C12"/>
    <w:rsid w:val="006C6531"/>
    <w:rsid w:val="006C7170"/>
    <w:rsid w:val="006D1C81"/>
    <w:rsid w:val="006D39C7"/>
    <w:rsid w:val="006D3F92"/>
    <w:rsid w:val="006D6174"/>
    <w:rsid w:val="006E00ED"/>
    <w:rsid w:val="006E3DBA"/>
    <w:rsid w:val="006E72AF"/>
    <w:rsid w:val="006E7F06"/>
    <w:rsid w:val="006F5340"/>
    <w:rsid w:val="00700039"/>
    <w:rsid w:val="00703096"/>
    <w:rsid w:val="007050D2"/>
    <w:rsid w:val="00710049"/>
    <w:rsid w:val="00710C20"/>
    <w:rsid w:val="00714DA4"/>
    <w:rsid w:val="00714FEF"/>
    <w:rsid w:val="0071578F"/>
    <w:rsid w:val="00716869"/>
    <w:rsid w:val="00716FFD"/>
    <w:rsid w:val="0072107B"/>
    <w:rsid w:val="007219DF"/>
    <w:rsid w:val="00721CF9"/>
    <w:rsid w:val="00722D78"/>
    <w:rsid w:val="00722E3F"/>
    <w:rsid w:val="00724C32"/>
    <w:rsid w:val="007263BA"/>
    <w:rsid w:val="00726E4A"/>
    <w:rsid w:val="00726EC0"/>
    <w:rsid w:val="00730909"/>
    <w:rsid w:val="0073122E"/>
    <w:rsid w:val="007319C0"/>
    <w:rsid w:val="00731B70"/>
    <w:rsid w:val="00733AC8"/>
    <w:rsid w:val="00734125"/>
    <w:rsid w:val="0073506E"/>
    <w:rsid w:val="007357A3"/>
    <w:rsid w:val="00735C50"/>
    <w:rsid w:val="007364B8"/>
    <w:rsid w:val="00737E41"/>
    <w:rsid w:val="00744834"/>
    <w:rsid w:val="00744993"/>
    <w:rsid w:val="00744BEF"/>
    <w:rsid w:val="007455D1"/>
    <w:rsid w:val="007502B9"/>
    <w:rsid w:val="00750E93"/>
    <w:rsid w:val="0075155F"/>
    <w:rsid w:val="007529A0"/>
    <w:rsid w:val="00752CD1"/>
    <w:rsid w:val="00752E3D"/>
    <w:rsid w:val="00753706"/>
    <w:rsid w:val="0075428A"/>
    <w:rsid w:val="00755D32"/>
    <w:rsid w:val="00760B30"/>
    <w:rsid w:val="0076106D"/>
    <w:rsid w:val="00762922"/>
    <w:rsid w:val="00762A4F"/>
    <w:rsid w:val="00762E39"/>
    <w:rsid w:val="00764767"/>
    <w:rsid w:val="00770933"/>
    <w:rsid w:val="00770BF7"/>
    <w:rsid w:val="00771556"/>
    <w:rsid w:val="00771854"/>
    <w:rsid w:val="0077189D"/>
    <w:rsid w:val="007723E4"/>
    <w:rsid w:val="00772638"/>
    <w:rsid w:val="00773D55"/>
    <w:rsid w:val="007745D8"/>
    <w:rsid w:val="00775D5C"/>
    <w:rsid w:val="00775FB3"/>
    <w:rsid w:val="0077618F"/>
    <w:rsid w:val="00777FD4"/>
    <w:rsid w:val="00782831"/>
    <w:rsid w:val="007855F9"/>
    <w:rsid w:val="00785ED3"/>
    <w:rsid w:val="00790899"/>
    <w:rsid w:val="007909F3"/>
    <w:rsid w:val="00791DDB"/>
    <w:rsid w:val="0079210B"/>
    <w:rsid w:val="00793F8D"/>
    <w:rsid w:val="00794E6A"/>
    <w:rsid w:val="00795DC7"/>
    <w:rsid w:val="00796478"/>
    <w:rsid w:val="00797002"/>
    <w:rsid w:val="00797077"/>
    <w:rsid w:val="00797D46"/>
    <w:rsid w:val="007A0F30"/>
    <w:rsid w:val="007A1FCE"/>
    <w:rsid w:val="007A25B3"/>
    <w:rsid w:val="007A2F0F"/>
    <w:rsid w:val="007A383A"/>
    <w:rsid w:val="007A413F"/>
    <w:rsid w:val="007A7A2E"/>
    <w:rsid w:val="007A7EEE"/>
    <w:rsid w:val="007B035B"/>
    <w:rsid w:val="007B076F"/>
    <w:rsid w:val="007B1098"/>
    <w:rsid w:val="007B167D"/>
    <w:rsid w:val="007B19D6"/>
    <w:rsid w:val="007B1C8E"/>
    <w:rsid w:val="007B3208"/>
    <w:rsid w:val="007B35DA"/>
    <w:rsid w:val="007B3825"/>
    <w:rsid w:val="007B3DCB"/>
    <w:rsid w:val="007B46B1"/>
    <w:rsid w:val="007B5E7C"/>
    <w:rsid w:val="007B6789"/>
    <w:rsid w:val="007B729B"/>
    <w:rsid w:val="007C2B22"/>
    <w:rsid w:val="007C3036"/>
    <w:rsid w:val="007C305C"/>
    <w:rsid w:val="007C3F1E"/>
    <w:rsid w:val="007C43EA"/>
    <w:rsid w:val="007C6BC9"/>
    <w:rsid w:val="007D0C37"/>
    <w:rsid w:val="007D1231"/>
    <w:rsid w:val="007D1A8E"/>
    <w:rsid w:val="007D5D94"/>
    <w:rsid w:val="007D5F20"/>
    <w:rsid w:val="007D672E"/>
    <w:rsid w:val="007E1B1D"/>
    <w:rsid w:val="007E2190"/>
    <w:rsid w:val="007E4271"/>
    <w:rsid w:val="007E4B8D"/>
    <w:rsid w:val="007E52DE"/>
    <w:rsid w:val="007E642F"/>
    <w:rsid w:val="007E65CC"/>
    <w:rsid w:val="007E6898"/>
    <w:rsid w:val="007E6B67"/>
    <w:rsid w:val="007E705D"/>
    <w:rsid w:val="007E7079"/>
    <w:rsid w:val="007E79ED"/>
    <w:rsid w:val="007F055E"/>
    <w:rsid w:val="007F2C82"/>
    <w:rsid w:val="007F3C44"/>
    <w:rsid w:val="007F3DA6"/>
    <w:rsid w:val="007F49ED"/>
    <w:rsid w:val="007F557E"/>
    <w:rsid w:val="007F5C9D"/>
    <w:rsid w:val="007F5DCA"/>
    <w:rsid w:val="007F7B9A"/>
    <w:rsid w:val="007F7DFC"/>
    <w:rsid w:val="0080036D"/>
    <w:rsid w:val="00803512"/>
    <w:rsid w:val="00805E2E"/>
    <w:rsid w:val="00807329"/>
    <w:rsid w:val="00807723"/>
    <w:rsid w:val="008107F1"/>
    <w:rsid w:val="0081426C"/>
    <w:rsid w:val="0081443A"/>
    <w:rsid w:val="008150C3"/>
    <w:rsid w:val="008163FE"/>
    <w:rsid w:val="0081657E"/>
    <w:rsid w:val="00820092"/>
    <w:rsid w:val="00820924"/>
    <w:rsid w:val="008209B0"/>
    <w:rsid w:val="00820A5C"/>
    <w:rsid w:val="00820AA9"/>
    <w:rsid w:val="00821A09"/>
    <w:rsid w:val="00822AED"/>
    <w:rsid w:val="008254AC"/>
    <w:rsid w:val="00826553"/>
    <w:rsid w:val="00826F37"/>
    <w:rsid w:val="00827DAE"/>
    <w:rsid w:val="008307DC"/>
    <w:rsid w:val="00831A38"/>
    <w:rsid w:val="00833361"/>
    <w:rsid w:val="00834A88"/>
    <w:rsid w:val="00834ABB"/>
    <w:rsid w:val="00835826"/>
    <w:rsid w:val="00835E30"/>
    <w:rsid w:val="00840722"/>
    <w:rsid w:val="00840FC2"/>
    <w:rsid w:val="00842655"/>
    <w:rsid w:val="0084314C"/>
    <w:rsid w:val="00843527"/>
    <w:rsid w:val="00843C59"/>
    <w:rsid w:val="00845C55"/>
    <w:rsid w:val="00845CAC"/>
    <w:rsid w:val="008476CC"/>
    <w:rsid w:val="00847C3B"/>
    <w:rsid w:val="00850174"/>
    <w:rsid w:val="00850AA4"/>
    <w:rsid w:val="008515E8"/>
    <w:rsid w:val="0085164B"/>
    <w:rsid w:val="00852AA2"/>
    <w:rsid w:val="00853E57"/>
    <w:rsid w:val="008546AA"/>
    <w:rsid w:val="00854DB7"/>
    <w:rsid w:val="008569F3"/>
    <w:rsid w:val="00856CC1"/>
    <w:rsid w:val="008579E0"/>
    <w:rsid w:val="00860B1C"/>
    <w:rsid w:val="0086208D"/>
    <w:rsid w:val="0086443C"/>
    <w:rsid w:val="00864C63"/>
    <w:rsid w:val="00866824"/>
    <w:rsid w:val="00866D49"/>
    <w:rsid w:val="008678FE"/>
    <w:rsid w:val="00867B35"/>
    <w:rsid w:val="00867FF3"/>
    <w:rsid w:val="00871A34"/>
    <w:rsid w:val="00871F27"/>
    <w:rsid w:val="00874FF6"/>
    <w:rsid w:val="008761D8"/>
    <w:rsid w:val="008772DA"/>
    <w:rsid w:val="008777B2"/>
    <w:rsid w:val="008817C5"/>
    <w:rsid w:val="00882ECF"/>
    <w:rsid w:val="00884FC4"/>
    <w:rsid w:val="008864E5"/>
    <w:rsid w:val="00891C38"/>
    <w:rsid w:val="008920B3"/>
    <w:rsid w:val="0089212F"/>
    <w:rsid w:val="00894295"/>
    <w:rsid w:val="0089531F"/>
    <w:rsid w:val="008A0DB8"/>
    <w:rsid w:val="008A0EAC"/>
    <w:rsid w:val="008A115A"/>
    <w:rsid w:val="008A3414"/>
    <w:rsid w:val="008A5064"/>
    <w:rsid w:val="008A58F9"/>
    <w:rsid w:val="008A60BD"/>
    <w:rsid w:val="008A697E"/>
    <w:rsid w:val="008A7127"/>
    <w:rsid w:val="008B1DC3"/>
    <w:rsid w:val="008B1DDC"/>
    <w:rsid w:val="008B2A2C"/>
    <w:rsid w:val="008B3B95"/>
    <w:rsid w:val="008B4029"/>
    <w:rsid w:val="008B631B"/>
    <w:rsid w:val="008B6AE5"/>
    <w:rsid w:val="008B6C35"/>
    <w:rsid w:val="008B72CF"/>
    <w:rsid w:val="008B7B71"/>
    <w:rsid w:val="008B7BEB"/>
    <w:rsid w:val="008C025F"/>
    <w:rsid w:val="008C036D"/>
    <w:rsid w:val="008C0E78"/>
    <w:rsid w:val="008C27EC"/>
    <w:rsid w:val="008C2AEF"/>
    <w:rsid w:val="008C33A3"/>
    <w:rsid w:val="008C3F66"/>
    <w:rsid w:val="008C499F"/>
    <w:rsid w:val="008C56D2"/>
    <w:rsid w:val="008C62A8"/>
    <w:rsid w:val="008D0509"/>
    <w:rsid w:val="008D0DE8"/>
    <w:rsid w:val="008D124D"/>
    <w:rsid w:val="008D14AD"/>
    <w:rsid w:val="008D2D0F"/>
    <w:rsid w:val="008D3A81"/>
    <w:rsid w:val="008D3F5F"/>
    <w:rsid w:val="008D4340"/>
    <w:rsid w:val="008D7DE8"/>
    <w:rsid w:val="008E070B"/>
    <w:rsid w:val="008E1E93"/>
    <w:rsid w:val="008E27F4"/>
    <w:rsid w:val="008E33C5"/>
    <w:rsid w:val="008E515E"/>
    <w:rsid w:val="008E54A4"/>
    <w:rsid w:val="008E59C1"/>
    <w:rsid w:val="008E6950"/>
    <w:rsid w:val="008E6B07"/>
    <w:rsid w:val="008E6C7A"/>
    <w:rsid w:val="008F1240"/>
    <w:rsid w:val="008F16BD"/>
    <w:rsid w:val="008F3DED"/>
    <w:rsid w:val="008F4ECE"/>
    <w:rsid w:val="008F57AA"/>
    <w:rsid w:val="008F7806"/>
    <w:rsid w:val="008F789E"/>
    <w:rsid w:val="00902E84"/>
    <w:rsid w:val="009057BE"/>
    <w:rsid w:val="00907028"/>
    <w:rsid w:val="00907275"/>
    <w:rsid w:val="009100DF"/>
    <w:rsid w:val="009108DB"/>
    <w:rsid w:val="009119D0"/>
    <w:rsid w:val="0091514A"/>
    <w:rsid w:val="00916093"/>
    <w:rsid w:val="00917A89"/>
    <w:rsid w:val="00917BAF"/>
    <w:rsid w:val="009242D9"/>
    <w:rsid w:val="009245CD"/>
    <w:rsid w:val="00924D34"/>
    <w:rsid w:val="0092605B"/>
    <w:rsid w:val="0092650E"/>
    <w:rsid w:val="009266C5"/>
    <w:rsid w:val="00926BD3"/>
    <w:rsid w:val="00926ED0"/>
    <w:rsid w:val="0092748C"/>
    <w:rsid w:val="00930D3C"/>
    <w:rsid w:val="0093177C"/>
    <w:rsid w:val="00931C52"/>
    <w:rsid w:val="00931DE7"/>
    <w:rsid w:val="00934408"/>
    <w:rsid w:val="00934EF7"/>
    <w:rsid w:val="00935342"/>
    <w:rsid w:val="00935C6F"/>
    <w:rsid w:val="00935CE8"/>
    <w:rsid w:val="009369BE"/>
    <w:rsid w:val="009370FD"/>
    <w:rsid w:val="00940859"/>
    <w:rsid w:val="00941A1A"/>
    <w:rsid w:val="00941E46"/>
    <w:rsid w:val="009426C0"/>
    <w:rsid w:val="00943258"/>
    <w:rsid w:val="009438B6"/>
    <w:rsid w:val="00944D12"/>
    <w:rsid w:val="00947CBF"/>
    <w:rsid w:val="00951489"/>
    <w:rsid w:val="00951A1B"/>
    <w:rsid w:val="009524AA"/>
    <w:rsid w:val="00952A55"/>
    <w:rsid w:val="00953F5F"/>
    <w:rsid w:val="00955030"/>
    <w:rsid w:val="009560DD"/>
    <w:rsid w:val="00957785"/>
    <w:rsid w:val="00957C13"/>
    <w:rsid w:val="00957DDC"/>
    <w:rsid w:val="00961FC0"/>
    <w:rsid w:val="00962B7A"/>
    <w:rsid w:val="00962F71"/>
    <w:rsid w:val="00963844"/>
    <w:rsid w:val="00965589"/>
    <w:rsid w:val="00965E0A"/>
    <w:rsid w:val="00970B5B"/>
    <w:rsid w:val="00971330"/>
    <w:rsid w:val="00976437"/>
    <w:rsid w:val="009768C3"/>
    <w:rsid w:val="0098063D"/>
    <w:rsid w:val="00981E5E"/>
    <w:rsid w:val="009841A7"/>
    <w:rsid w:val="009877B3"/>
    <w:rsid w:val="00987DCC"/>
    <w:rsid w:val="00991D64"/>
    <w:rsid w:val="00992FA2"/>
    <w:rsid w:val="00995135"/>
    <w:rsid w:val="00996337"/>
    <w:rsid w:val="009963F7"/>
    <w:rsid w:val="00997744"/>
    <w:rsid w:val="00997746"/>
    <w:rsid w:val="009977A4"/>
    <w:rsid w:val="009A0F87"/>
    <w:rsid w:val="009A1E4B"/>
    <w:rsid w:val="009A4049"/>
    <w:rsid w:val="009A41F7"/>
    <w:rsid w:val="009A46B9"/>
    <w:rsid w:val="009A52D4"/>
    <w:rsid w:val="009A56A5"/>
    <w:rsid w:val="009A5765"/>
    <w:rsid w:val="009A62C5"/>
    <w:rsid w:val="009A6E61"/>
    <w:rsid w:val="009A70D0"/>
    <w:rsid w:val="009B0B33"/>
    <w:rsid w:val="009B177E"/>
    <w:rsid w:val="009B533B"/>
    <w:rsid w:val="009B545E"/>
    <w:rsid w:val="009B5A75"/>
    <w:rsid w:val="009B7554"/>
    <w:rsid w:val="009C05B7"/>
    <w:rsid w:val="009C06C5"/>
    <w:rsid w:val="009C0E89"/>
    <w:rsid w:val="009C4DE4"/>
    <w:rsid w:val="009C5A5B"/>
    <w:rsid w:val="009C5B6C"/>
    <w:rsid w:val="009C77CB"/>
    <w:rsid w:val="009D0E7E"/>
    <w:rsid w:val="009D19B2"/>
    <w:rsid w:val="009D32F4"/>
    <w:rsid w:val="009D3AFA"/>
    <w:rsid w:val="009D48A6"/>
    <w:rsid w:val="009D4C59"/>
    <w:rsid w:val="009D534C"/>
    <w:rsid w:val="009E1369"/>
    <w:rsid w:val="009E1BC2"/>
    <w:rsid w:val="009E1DFF"/>
    <w:rsid w:val="009E1EB1"/>
    <w:rsid w:val="009E425F"/>
    <w:rsid w:val="009E42D3"/>
    <w:rsid w:val="009F08C6"/>
    <w:rsid w:val="009F2ADF"/>
    <w:rsid w:val="009F3356"/>
    <w:rsid w:val="00A0156F"/>
    <w:rsid w:val="00A02DFC"/>
    <w:rsid w:val="00A033BF"/>
    <w:rsid w:val="00A038B3"/>
    <w:rsid w:val="00A04EE9"/>
    <w:rsid w:val="00A06634"/>
    <w:rsid w:val="00A0704D"/>
    <w:rsid w:val="00A11483"/>
    <w:rsid w:val="00A11578"/>
    <w:rsid w:val="00A13069"/>
    <w:rsid w:val="00A13294"/>
    <w:rsid w:val="00A14234"/>
    <w:rsid w:val="00A149E8"/>
    <w:rsid w:val="00A15694"/>
    <w:rsid w:val="00A173ED"/>
    <w:rsid w:val="00A209A4"/>
    <w:rsid w:val="00A21576"/>
    <w:rsid w:val="00A23B5B"/>
    <w:rsid w:val="00A26271"/>
    <w:rsid w:val="00A279EE"/>
    <w:rsid w:val="00A27CED"/>
    <w:rsid w:val="00A27CF6"/>
    <w:rsid w:val="00A27E0E"/>
    <w:rsid w:val="00A30069"/>
    <w:rsid w:val="00A30D03"/>
    <w:rsid w:val="00A320C3"/>
    <w:rsid w:val="00A32524"/>
    <w:rsid w:val="00A325CB"/>
    <w:rsid w:val="00A32B9E"/>
    <w:rsid w:val="00A32E8C"/>
    <w:rsid w:val="00A341E8"/>
    <w:rsid w:val="00A37E06"/>
    <w:rsid w:val="00A40044"/>
    <w:rsid w:val="00A401DB"/>
    <w:rsid w:val="00A41464"/>
    <w:rsid w:val="00A416D3"/>
    <w:rsid w:val="00A42CDA"/>
    <w:rsid w:val="00A43413"/>
    <w:rsid w:val="00A43BDD"/>
    <w:rsid w:val="00A44FAD"/>
    <w:rsid w:val="00A45975"/>
    <w:rsid w:val="00A45E68"/>
    <w:rsid w:val="00A50214"/>
    <w:rsid w:val="00A5084F"/>
    <w:rsid w:val="00A50975"/>
    <w:rsid w:val="00A51399"/>
    <w:rsid w:val="00A53163"/>
    <w:rsid w:val="00A559B3"/>
    <w:rsid w:val="00A61277"/>
    <w:rsid w:val="00A6133A"/>
    <w:rsid w:val="00A613F3"/>
    <w:rsid w:val="00A61515"/>
    <w:rsid w:val="00A63A1B"/>
    <w:rsid w:val="00A66531"/>
    <w:rsid w:val="00A67205"/>
    <w:rsid w:val="00A672D4"/>
    <w:rsid w:val="00A72187"/>
    <w:rsid w:val="00A7444B"/>
    <w:rsid w:val="00A74CA8"/>
    <w:rsid w:val="00A774BA"/>
    <w:rsid w:val="00A80642"/>
    <w:rsid w:val="00A8443D"/>
    <w:rsid w:val="00A851AF"/>
    <w:rsid w:val="00A875DA"/>
    <w:rsid w:val="00A93210"/>
    <w:rsid w:val="00A93ED6"/>
    <w:rsid w:val="00A947B2"/>
    <w:rsid w:val="00A949B4"/>
    <w:rsid w:val="00A94E64"/>
    <w:rsid w:val="00A95558"/>
    <w:rsid w:val="00A972F0"/>
    <w:rsid w:val="00A97DF4"/>
    <w:rsid w:val="00AA022C"/>
    <w:rsid w:val="00AA0DBE"/>
    <w:rsid w:val="00AA1166"/>
    <w:rsid w:val="00AA2FCD"/>
    <w:rsid w:val="00AA3982"/>
    <w:rsid w:val="00AA3DD0"/>
    <w:rsid w:val="00AA51AC"/>
    <w:rsid w:val="00AA60FE"/>
    <w:rsid w:val="00AA694F"/>
    <w:rsid w:val="00AA69C0"/>
    <w:rsid w:val="00AA736B"/>
    <w:rsid w:val="00AA7F49"/>
    <w:rsid w:val="00AB058B"/>
    <w:rsid w:val="00AB2EA4"/>
    <w:rsid w:val="00AB3A37"/>
    <w:rsid w:val="00AB3E11"/>
    <w:rsid w:val="00AB5393"/>
    <w:rsid w:val="00AB592C"/>
    <w:rsid w:val="00AB5B52"/>
    <w:rsid w:val="00AB5F38"/>
    <w:rsid w:val="00AB6001"/>
    <w:rsid w:val="00AB65A0"/>
    <w:rsid w:val="00AB722C"/>
    <w:rsid w:val="00AC161F"/>
    <w:rsid w:val="00AC48C6"/>
    <w:rsid w:val="00AC6090"/>
    <w:rsid w:val="00AC74F3"/>
    <w:rsid w:val="00AD0309"/>
    <w:rsid w:val="00AD08CB"/>
    <w:rsid w:val="00AD3918"/>
    <w:rsid w:val="00AD46F8"/>
    <w:rsid w:val="00AD497D"/>
    <w:rsid w:val="00AD58EB"/>
    <w:rsid w:val="00AD69E8"/>
    <w:rsid w:val="00AD6B85"/>
    <w:rsid w:val="00AE01FE"/>
    <w:rsid w:val="00AE07BB"/>
    <w:rsid w:val="00AE0D77"/>
    <w:rsid w:val="00AE3BD7"/>
    <w:rsid w:val="00AE3FB7"/>
    <w:rsid w:val="00AE425A"/>
    <w:rsid w:val="00AE669D"/>
    <w:rsid w:val="00AE6C6A"/>
    <w:rsid w:val="00AF1FC2"/>
    <w:rsid w:val="00AF219C"/>
    <w:rsid w:val="00AF319B"/>
    <w:rsid w:val="00AF3AF6"/>
    <w:rsid w:val="00AF47B6"/>
    <w:rsid w:val="00AF4CA1"/>
    <w:rsid w:val="00AF4CA2"/>
    <w:rsid w:val="00AF691D"/>
    <w:rsid w:val="00AF7AB7"/>
    <w:rsid w:val="00B00688"/>
    <w:rsid w:val="00B00C0B"/>
    <w:rsid w:val="00B02415"/>
    <w:rsid w:val="00B02EE0"/>
    <w:rsid w:val="00B03A0D"/>
    <w:rsid w:val="00B069C5"/>
    <w:rsid w:val="00B10670"/>
    <w:rsid w:val="00B11913"/>
    <w:rsid w:val="00B12C3E"/>
    <w:rsid w:val="00B13100"/>
    <w:rsid w:val="00B135F2"/>
    <w:rsid w:val="00B14001"/>
    <w:rsid w:val="00B14278"/>
    <w:rsid w:val="00B1492F"/>
    <w:rsid w:val="00B14943"/>
    <w:rsid w:val="00B15062"/>
    <w:rsid w:val="00B15A1C"/>
    <w:rsid w:val="00B15D0C"/>
    <w:rsid w:val="00B1744B"/>
    <w:rsid w:val="00B20594"/>
    <w:rsid w:val="00B21023"/>
    <w:rsid w:val="00B226DD"/>
    <w:rsid w:val="00B234DF"/>
    <w:rsid w:val="00B23748"/>
    <w:rsid w:val="00B23D02"/>
    <w:rsid w:val="00B23EE5"/>
    <w:rsid w:val="00B30218"/>
    <w:rsid w:val="00B31500"/>
    <w:rsid w:val="00B32373"/>
    <w:rsid w:val="00B3296A"/>
    <w:rsid w:val="00B333AF"/>
    <w:rsid w:val="00B35063"/>
    <w:rsid w:val="00B35799"/>
    <w:rsid w:val="00B35AC9"/>
    <w:rsid w:val="00B3789E"/>
    <w:rsid w:val="00B405A1"/>
    <w:rsid w:val="00B41779"/>
    <w:rsid w:val="00B43814"/>
    <w:rsid w:val="00B43EF5"/>
    <w:rsid w:val="00B4652C"/>
    <w:rsid w:val="00B47D41"/>
    <w:rsid w:val="00B47DD5"/>
    <w:rsid w:val="00B50332"/>
    <w:rsid w:val="00B51267"/>
    <w:rsid w:val="00B525F8"/>
    <w:rsid w:val="00B52E08"/>
    <w:rsid w:val="00B53635"/>
    <w:rsid w:val="00B53829"/>
    <w:rsid w:val="00B540D0"/>
    <w:rsid w:val="00B5598D"/>
    <w:rsid w:val="00B55E83"/>
    <w:rsid w:val="00B5777D"/>
    <w:rsid w:val="00B603B3"/>
    <w:rsid w:val="00B636FE"/>
    <w:rsid w:val="00B63DC2"/>
    <w:rsid w:val="00B64C5D"/>
    <w:rsid w:val="00B66CCB"/>
    <w:rsid w:val="00B677A3"/>
    <w:rsid w:val="00B67CDD"/>
    <w:rsid w:val="00B67EC0"/>
    <w:rsid w:val="00B70E7C"/>
    <w:rsid w:val="00B71A7F"/>
    <w:rsid w:val="00B72C71"/>
    <w:rsid w:val="00B74C09"/>
    <w:rsid w:val="00B77CA9"/>
    <w:rsid w:val="00B80144"/>
    <w:rsid w:val="00B8109B"/>
    <w:rsid w:val="00B815AE"/>
    <w:rsid w:val="00B820CD"/>
    <w:rsid w:val="00B8323C"/>
    <w:rsid w:val="00B833E0"/>
    <w:rsid w:val="00B83D57"/>
    <w:rsid w:val="00B86B72"/>
    <w:rsid w:val="00B86D97"/>
    <w:rsid w:val="00B877DA"/>
    <w:rsid w:val="00B91156"/>
    <w:rsid w:val="00B91B54"/>
    <w:rsid w:val="00B927B0"/>
    <w:rsid w:val="00B94F7C"/>
    <w:rsid w:val="00B95090"/>
    <w:rsid w:val="00B96BBF"/>
    <w:rsid w:val="00BA035D"/>
    <w:rsid w:val="00BA2C38"/>
    <w:rsid w:val="00BA3AB9"/>
    <w:rsid w:val="00BA48B6"/>
    <w:rsid w:val="00BA5210"/>
    <w:rsid w:val="00BA55FE"/>
    <w:rsid w:val="00BA76C5"/>
    <w:rsid w:val="00BA7E0F"/>
    <w:rsid w:val="00BA7F78"/>
    <w:rsid w:val="00BB5D9A"/>
    <w:rsid w:val="00BB6349"/>
    <w:rsid w:val="00BB71BE"/>
    <w:rsid w:val="00BC0938"/>
    <w:rsid w:val="00BC1852"/>
    <w:rsid w:val="00BC2651"/>
    <w:rsid w:val="00BC2A4A"/>
    <w:rsid w:val="00BC3B13"/>
    <w:rsid w:val="00BC4BC3"/>
    <w:rsid w:val="00BC4D1B"/>
    <w:rsid w:val="00BC56F8"/>
    <w:rsid w:val="00BC6DD0"/>
    <w:rsid w:val="00BC71AC"/>
    <w:rsid w:val="00BD1693"/>
    <w:rsid w:val="00BD1DB2"/>
    <w:rsid w:val="00BD5496"/>
    <w:rsid w:val="00BD5A9D"/>
    <w:rsid w:val="00BD6004"/>
    <w:rsid w:val="00BD6CF7"/>
    <w:rsid w:val="00BE165C"/>
    <w:rsid w:val="00BE42A1"/>
    <w:rsid w:val="00BE5622"/>
    <w:rsid w:val="00BE6741"/>
    <w:rsid w:val="00BF0477"/>
    <w:rsid w:val="00BF1A81"/>
    <w:rsid w:val="00BF1B96"/>
    <w:rsid w:val="00BF1BD6"/>
    <w:rsid w:val="00BF48B5"/>
    <w:rsid w:val="00BF70E8"/>
    <w:rsid w:val="00C0046C"/>
    <w:rsid w:val="00C016FE"/>
    <w:rsid w:val="00C01DFA"/>
    <w:rsid w:val="00C043CE"/>
    <w:rsid w:val="00C072E2"/>
    <w:rsid w:val="00C07DCC"/>
    <w:rsid w:val="00C100E0"/>
    <w:rsid w:val="00C10A55"/>
    <w:rsid w:val="00C1234C"/>
    <w:rsid w:val="00C17724"/>
    <w:rsid w:val="00C17DCD"/>
    <w:rsid w:val="00C20CF5"/>
    <w:rsid w:val="00C21A0C"/>
    <w:rsid w:val="00C2208A"/>
    <w:rsid w:val="00C2212B"/>
    <w:rsid w:val="00C22BB9"/>
    <w:rsid w:val="00C232A4"/>
    <w:rsid w:val="00C25648"/>
    <w:rsid w:val="00C25695"/>
    <w:rsid w:val="00C261B1"/>
    <w:rsid w:val="00C26D1D"/>
    <w:rsid w:val="00C276C8"/>
    <w:rsid w:val="00C27A45"/>
    <w:rsid w:val="00C27D67"/>
    <w:rsid w:val="00C301A7"/>
    <w:rsid w:val="00C305EC"/>
    <w:rsid w:val="00C31090"/>
    <w:rsid w:val="00C32680"/>
    <w:rsid w:val="00C327EC"/>
    <w:rsid w:val="00C33227"/>
    <w:rsid w:val="00C336A1"/>
    <w:rsid w:val="00C36052"/>
    <w:rsid w:val="00C37439"/>
    <w:rsid w:val="00C3779C"/>
    <w:rsid w:val="00C37DF5"/>
    <w:rsid w:val="00C40514"/>
    <w:rsid w:val="00C414FC"/>
    <w:rsid w:val="00C43BB8"/>
    <w:rsid w:val="00C4416C"/>
    <w:rsid w:val="00C5019F"/>
    <w:rsid w:val="00C506CA"/>
    <w:rsid w:val="00C52AE0"/>
    <w:rsid w:val="00C52E2C"/>
    <w:rsid w:val="00C54A64"/>
    <w:rsid w:val="00C5531A"/>
    <w:rsid w:val="00C6060E"/>
    <w:rsid w:val="00C624F7"/>
    <w:rsid w:val="00C64ECB"/>
    <w:rsid w:val="00C67E88"/>
    <w:rsid w:val="00C70949"/>
    <w:rsid w:val="00C725B0"/>
    <w:rsid w:val="00C72FB7"/>
    <w:rsid w:val="00C73227"/>
    <w:rsid w:val="00C739BE"/>
    <w:rsid w:val="00C73F2D"/>
    <w:rsid w:val="00C747E8"/>
    <w:rsid w:val="00C74FC3"/>
    <w:rsid w:val="00C75B0C"/>
    <w:rsid w:val="00C764F6"/>
    <w:rsid w:val="00C80499"/>
    <w:rsid w:val="00C81008"/>
    <w:rsid w:val="00C81508"/>
    <w:rsid w:val="00C81526"/>
    <w:rsid w:val="00C82C80"/>
    <w:rsid w:val="00C83893"/>
    <w:rsid w:val="00C8506A"/>
    <w:rsid w:val="00C85ED9"/>
    <w:rsid w:val="00C860DC"/>
    <w:rsid w:val="00C86308"/>
    <w:rsid w:val="00C863A5"/>
    <w:rsid w:val="00C90AEE"/>
    <w:rsid w:val="00C91179"/>
    <w:rsid w:val="00C913B1"/>
    <w:rsid w:val="00C9269E"/>
    <w:rsid w:val="00C92D77"/>
    <w:rsid w:val="00C93B46"/>
    <w:rsid w:val="00C93D5C"/>
    <w:rsid w:val="00C94D20"/>
    <w:rsid w:val="00C95A40"/>
    <w:rsid w:val="00C97E3B"/>
    <w:rsid w:val="00CA08F9"/>
    <w:rsid w:val="00CA2BA5"/>
    <w:rsid w:val="00CA517E"/>
    <w:rsid w:val="00CA584F"/>
    <w:rsid w:val="00CB0130"/>
    <w:rsid w:val="00CB05CA"/>
    <w:rsid w:val="00CB0C3C"/>
    <w:rsid w:val="00CB24D2"/>
    <w:rsid w:val="00CB33D2"/>
    <w:rsid w:val="00CB3CF0"/>
    <w:rsid w:val="00CB3DA7"/>
    <w:rsid w:val="00CB6810"/>
    <w:rsid w:val="00CC012C"/>
    <w:rsid w:val="00CC0B4F"/>
    <w:rsid w:val="00CC17BA"/>
    <w:rsid w:val="00CC1F3E"/>
    <w:rsid w:val="00CC2C9B"/>
    <w:rsid w:val="00CC30D7"/>
    <w:rsid w:val="00CC35EF"/>
    <w:rsid w:val="00CC3AAE"/>
    <w:rsid w:val="00CC5107"/>
    <w:rsid w:val="00CC59C3"/>
    <w:rsid w:val="00CC6112"/>
    <w:rsid w:val="00CC65DB"/>
    <w:rsid w:val="00CC749B"/>
    <w:rsid w:val="00CD10A3"/>
    <w:rsid w:val="00CD204E"/>
    <w:rsid w:val="00CD4110"/>
    <w:rsid w:val="00CD5782"/>
    <w:rsid w:val="00CD597F"/>
    <w:rsid w:val="00CD66EB"/>
    <w:rsid w:val="00CD6C67"/>
    <w:rsid w:val="00CD6CE9"/>
    <w:rsid w:val="00CD71D8"/>
    <w:rsid w:val="00CE2592"/>
    <w:rsid w:val="00CE42A6"/>
    <w:rsid w:val="00CE457E"/>
    <w:rsid w:val="00CE5CAC"/>
    <w:rsid w:val="00CF2285"/>
    <w:rsid w:val="00CF2F60"/>
    <w:rsid w:val="00CF31CB"/>
    <w:rsid w:val="00CF3F70"/>
    <w:rsid w:val="00CF599D"/>
    <w:rsid w:val="00CF6087"/>
    <w:rsid w:val="00D0022D"/>
    <w:rsid w:val="00D0027E"/>
    <w:rsid w:val="00D00D1B"/>
    <w:rsid w:val="00D04373"/>
    <w:rsid w:val="00D04853"/>
    <w:rsid w:val="00D04A0D"/>
    <w:rsid w:val="00D04B6B"/>
    <w:rsid w:val="00D06FC1"/>
    <w:rsid w:val="00D070A4"/>
    <w:rsid w:val="00D071D9"/>
    <w:rsid w:val="00D07301"/>
    <w:rsid w:val="00D12A68"/>
    <w:rsid w:val="00D13B5D"/>
    <w:rsid w:val="00D13BEA"/>
    <w:rsid w:val="00D13CA6"/>
    <w:rsid w:val="00D14AC3"/>
    <w:rsid w:val="00D161ED"/>
    <w:rsid w:val="00D16469"/>
    <w:rsid w:val="00D20771"/>
    <w:rsid w:val="00D236B8"/>
    <w:rsid w:val="00D242C2"/>
    <w:rsid w:val="00D252C8"/>
    <w:rsid w:val="00D26191"/>
    <w:rsid w:val="00D264E7"/>
    <w:rsid w:val="00D27217"/>
    <w:rsid w:val="00D27A2C"/>
    <w:rsid w:val="00D306BF"/>
    <w:rsid w:val="00D30B2B"/>
    <w:rsid w:val="00D30C36"/>
    <w:rsid w:val="00D31C22"/>
    <w:rsid w:val="00D31CFD"/>
    <w:rsid w:val="00D325B2"/>
    <w:rsid w:val="00D33171"/>
    <w:rsid w:val="00D33DEA"/>
    <w:rsid w:val="00D34013"/>
    <w:rsid w:val="00D351DE"/>
    <w:rsid w:val="00D35BE9"/>
    <w:rsid w:val="00D36A1C"/>
    <w:rsid w:val="00D37195"/>
    <w:rsid w:val="00D40BE1"/>
    <w:rsid w:val="00D42116"/>
    <w:rsid w:val="00D4331F"/>
    <w:rsid w:val="00D45710"/>
    <w:rsid w:val="00D45E8B"/>
    <w:rsid w:val="00D46202"/>
    <w:rsid w:val="00D47115"/>
    <w:rsid w:val="00D472C0"/>
    <w:rsid w:val="00D503C3"/>
    <w:rsid w:val="00D512E4"/>
    <w:rsid w:val="00D5233E"/>
    <w:rsid w:val="00D537DA"/>
    <w:rsid w:val="00D55387"/>
    <w:rsid w:val="00D555E4"/>
    <w:rsid w:val="00D55D72"/>
    <w:rsid w:val="00D55DFC"/>
    <w:rsid w:val="00D561D2"/>
    <w:rsid w:val="00D56595"/>
    <w:rsid w:val="00D575BD"/>
    <w:rsid w:val="00D5792D"/>
    <w:rsid w:val="00D61C3B"/>
    <w:rsid w:val="00D640FC"/>
    <w:rsid w:val="00D6511E"/>
    <w:rsid w:val="00D6648D"/>
    <w:rsid w:val="00D66AC0"/>
    <w:rsid w:val="00D67A3E"/>
    <w:rsid w:val="00D70497"/>
    <w:rsid w:val="00D7165F"/>
    <w:rsid w:val="00D73D9E"/>
    <w:rsid w:val="00D74DD7"/>
    <w:rsid w:val="00D7585B"/>
    <w:rsid w:val="00D768AD"/>
    <w:rsid w:val="00D76F04"/>
    <w:rsid w:val="00D774A1"/>
    <w:rsid w:val="00D776D0"/>
    <w:rsid w:val="00D802CE"/>
    <w:rsid w:val="00D80907"/>
    <w:rsid w:val="00D82F26"/>
    <w:rsid w:val="00D83623"/>
    <w:rsid w:val="00D8365E"/>
    <w:rsid w:val="00D83C4B"/>
    <w:rsid w:val="00D8522F"/>
    <w:rsid w:val="00D8552E"/>
    <w:rsid w:val="00D865D2"/>
    <w:rsid w:val="00D8680B"/>
    <w:rsid w:val="00D86ACF"/>
    <w:rsid w:val="00D86C9E"/>
    <w:rsid w:val="00D871FA"/>
    <w:rsid w:val="00D90E24"/>
    <w:rsid w:val="00D91307"/>
    <w:rsid w:val="00D91431"/>
    <w:rsid w:val="00D92380"/>
    <w:rsid w:val="00D92615"/>
    <w:rsid w:val="00D92B93"/>
    <w:rsid w:val="00D9342C"/>
    <w:rsid w:val="00D93AB5"/>
    <w:rsid w:val="00D93FCF"/>
    <w:rsid w:val="00D94473"/>
    <w:rsid w:val="00D958E7"/>
    <w:rsid w:val="00D96063"/>
    <w:rsid w:val="00D97471"/>
    <w:rsid w:val="00D97657"/>
    <w:rsid w:val="00D97BD9"/>
    <w:rsid w:val="00DA197E"/>
    <w:rsid w:val="00DA1ED7"/>
    <w:rsid w:val="00DA21FD"/>
    <w:rsid w:val="00DA2825"/>
    <w:rsid w:val="00DA2883"/>
    <w:rsid w:val="00DA2C60"/>
    <w:rsid w:val="00DA3515"/>
    <w:rsid w:val="00DA3610"/>
    <w:rsid w:val="00DA381E"/>
    <w:rsid w:val="00DA6D12"/>
    <w:rsid w:val="00DB041E"/>
    <w:rsid w:val="00DB1D52"/>
    <w:rsid w:val="00DB2ECE"/>
    <w:rsid w:val="00DB3314"/>
    <w:rsid w:val="00DB41ED"/>
    <w:rsid w:val="00DB443A"/>
    <w:rsid w:val="00DB6539"/>
    <w:rsid w:val="00DC0521"/>
    <w:rsid w:val="00DC1267"/>
    <w:rsid w:val="00DC205A"/>
    <w:rsid w:val="00DC27D1"/>
    <w:rsid w:val="00DC4B90"/>
    <w:rsid w:val="00DC64A8"/>
    <w:rsid w:val="00DC6EB5"/>
    <w:rsid w:val="00DC6EFE"/>
    <w:rsid w:val="00DC7C64"/>
    <w:rsid w:val="00DD001E"/>
    <w:rsid w:val="00DD1081"/>
    <w:rsid w:val="00DD265F"/>
    <w:rsid w:val="00DD29BE"/>
    <w:rsid w:val="00DD3073"/>
    <w:rsid w:val="00DD4F3F"/>
    <w:rsid w:val="00DD50D0"/>
    <w:rsid w:val="00DD5356"/>
    <w:rsid w:val="00DD5F81"/>
    <w:rsid w:val="00DD7409"/>
    <w:rsid w:val="00DD7D11"/>
    <w:rsid w:val="00DE1720"/>
    <w:rsid w:val="00DE4775"/>
    <w:rsid w:val="00DE53B7"/>
    <w:rsid w:val="00DE5804"/>
    <w:rsid w:val="00DE64DA"/>
    <w:rsid w:val="00DE672B"/>
    <w:rsid w:val="00DE6E70"/>
    <w:rsid w:val="00DE762F"/>
    <w:rsid w:val="00DE7FC5"/>
    <w:rsid w:val="00DF065F"/>
    <w:rsid w:val="00DF06FA"/>
    <w:rsid w:val="00DF077D"/>
    <w:rsid w:val="00DF2019"/>
    <w:rsid w:val="00DF2441"/>
    <w:rsid w:val="00DF2AE8"/>
    <w:rsid w:val="00DF5407"/>
    <w:rsid w:val="00DF6179"/>
    <w:rsid w:val="00DF61D2"/>
    <w:rsid w:val="00DF6D87"/>
    <w:rsid w:val="00E012A6"/>
    <w:rsid w:val="00E01A0E"/>
    <w:rsid w:val="00E01F58"/>
    <w:rsid w:val="00E0453B"/>
    <w:rsid w:val="00E04B20"/>
    <w:rsid w:val="00E05F12"/>
    <w:rsid w:val="00E0753C"/>
    <w:rsid w:val="00E10941"/>
    <w:rsid w:val="00E10F6D"/>
    <w:rsid w:val="00E12F3C"/>
    <w:rsid w:val="00E13BCE"/>
    <w:rsid w:val="00E16212"/>
    <w:rsid w:val="00E176BF"/>
    <w:rsid w:val="00E223A7"/>
    <w:rsid w:val="00E2392D"/>
    <w:rsid w:val="00E2406D"/>
    <w:rsid w:val="00E240B0"/>
    <w:rsid w:val="00E250FB"/>
    <w:rsid w:val="00E252FD"/>
    <w:rsid w:val="00E256BE"/>
    <w:rsid w:val="00E25921"/>
    <w:rsid w:val="00E267C5"/>
    <w:rsid w:val="00E31F91"/>
    <w:rsid w:val="00E32292"/>
    <w:rsid w:val="00E34E9D"/>
    <w:rsid w:val="00E3533D"/>
    <w:rsid w:val="00E35890"/>
    <w:rsid w:val="00E36D83"/>
    <w:rsid w:val="00E370A6"/>
    <w:rsid w:val="00E41AEB"/>
    <w:rsid w:val="00E41BF4"/>
    <w:rsid w:val="00E44D07"/>
    <w:rsid w:val="00E46771"/>
    <w:rsid w:val="00E46882"/>
    <w:rsid w:val="00E47D36"/>
    <w:rsid w:val="00E50AC2"/>
    <w:rsid w:val="00E50C80"/>
    <w:rsid w:val="00E50DF8"/>
    <w:rsid w:val="00E51463"/>
    <w:rsid w:val="00E5344C"/>
    <w:rsid w:val="00E539B8"/>
    <w:rsid w:val="00E54045"/>
    <w:rsid w:val="00E542CD"/>
    <w:rsid w:val="00E54A29"/>
    <w:rsid w:val="00E54C5C"/>
    <w:rsid w:val="00E55395"/>
    <w:rsid w:val="00E57189"/>
    <w:rsid w:val="00E57E23"/>
    <w:rsid w:val="00E61109"/>
    <w:rsid w:val="00E638B8"/>
    <w:rsid w:val="00E6421C"/>
    <w:rsid w:val="00E64257"/>
    <w:rsid w:val="00E65705"/>
    <w:rsid w:val="00E668FE"/>
    <w:rsid w:val="00E669C2"/>
    <w:rsid w:val="00E67528"/>
    <w:rsid w:val="00E718F9"/>
    <w:rsid w:val="00E73356"/>
    <w:rsid w:val="00E73397"/>
    <w:rsid w:val="00E73F86"/>
    <w:rsid w:val="00E741DA"/>
    <w:rsid w:val="00E74A23"/>
    <w:rsid w:val="00E74F22"/>
    <w:rsid w:val="00E75BC8"/>
    <w:rsid w:val="00E774B4"/>
    <w:rsid w:val="00E7772B"/>
    <w:rsid w:val="00E80303"/>
    <w:rsid w:val="00E817BA"/>
    <w:rsid w:val="00E81DCF"/>
    <w:rsid w:val="00E81F4A"/>
    <w:rsid w:val="00E83163"/>
    <w:rsid w:val="00E84739"/>
    <w:rsid w:val="00E8598E"/>
    <w:rsid w:val="00E862FE"/>
    <w:rsid w:val="00E878F6"/>
    <w:rsid w:val="00E903B5"/>
    <w:rsid w:val="00E942A9"/>
    <w:rsid w:val="00E95131"/>
    <w:rsid w:val="00E951A2"/>
    <w:rsid w:val="00E95503"/>
    <w:rsid w:val="00E95DCA"/>
    <w:rsid w:val="00E97426"/>
    <w:rsid w:val="00EA086C"/>
    <w:rsid w:val="00EA0D46"/>
    <w:rsid w:val="00EA1196"/>
    <w:rsid w:val="00EA22B3"/>
    <w:rsid w:val="00EA45A1"/>
    <w:rsid w:val="00EB3FAE"/>
    <w:rsid w:val="00EB3FB5"/>
    <w:rsid w:val="00EB48D8"/>
    <w:rsid w:val="00EB4B96"/>
    <w:rsid w:val="00EB508A"/>
    <w:rsid w:val="00EB55A0"/>
    <w:rsid w:val="00EB726F"/>
    <w:rsid w:val="00EC3371"/>
    <w:rsid w:val="00EC33F7"/>
    <w:rsid w:val="00EC345F"/>
    <w:rsid w:val="00EC483B"/>
    <w:rsid w:val="00EC642B"/>
    <w:rsid w:val="00EC7F8A"/>
    <w:rsid w:val="00ED21C6"/>
    <w:rsid w:val="00ED4753"/>
    <w:rsid w:val="00ED6901"/>
    <w:rsid w:val="00ED7E5C"/>
    <w:rsid w:val="00EE0F11"/>
    <w:rsid w:val="00EE1E52"/>
    <w:rsid w:val="00EE275A"/>
    <w:rsid w:val="00EE2F73"/>
    <w:rsid w:val="00EE3A7B"/>
    <w:rsid w:val="00EE57B7"/>
    <w:rsid w:val="00EE6DC6"/>
    <w:rsid w:val="00EE7E9C"/>
    <w:rsid w:val="00EF010B"/>
    <w:rsid w:val="00EF0572"/>
    <w:rsid w:val="00EF0C1D"/>
    <w:rsid w:val="00EF15E3"/>
    <w:rsid w:val="00EF1925"/>
    <w:rsid w:val="00EF3C19"/>
    <w:rsid w:val="00EF69D2"/>
    <w:rsid w:val="00F02F1F"/>
    <w:rsid w:val="00F03D14"/>
    <w:rsid w:val="00F03F25"/>
    <w:rsid w:val="00F04FD9"/>
    <w:rsid w:val="00F05A5C"/>
    <w:rsid w:val="00F06C64"/>
    <w:rsid w:val="00F07383"/>
    <w:rsid w:val="00F07F3E"/>
    <w:rsid w:val="00F12C5D"/>
    <w:rsid w:val="00F130CE"/>
    <w:rsid w:val="00F1334B"/>
    <w:rsid w:val="00F1382A"/>
    <w:rsid w:val="00F14A69"/>
    <w:rsid w:val="00F155F0"/>
    <w:rsid w:val="00F16904"/>
    <w:rsid w:val="00F169C2"/>
    <w:rsid w:val="00F16ACD"/>
    <w:rsid w:val="00F21B49"/>
    <w:rsid w:val="00F224F3"/>
    <w:rsid w:val="00F234E0"/>
    <w:rsid w:val="00F23A3B"/>
    <w:rsid w:val="00F26128"/>
    <w:rsid w:val="00F26CB7"/>
    <w:rsid w:val="00F27610"/>
    <w:rsid w:val="00F27614"/>
    <w:rsid w:val="00F27736"/>
    <w:rsid w:val="00F30CA4"/>
    <w:rsid w:val="00F31704"/>
    <w:rsid w:val="00F31EDA"/>
    <w:rsid w:val="00F346F7"/>
    <w:rsid w:val="00F34E18"/>
    <w:rsid w:val="00F354F2"/>
    <w:rsid w:val="00F35662"/>
    <w:rsid w:val="00F35C90"/>
    <w:rsid w:val="00F35F3E"/>
    <w:rsid w:val="00F371C9"/>
    <w:rsid w:val="00F37FE2"/>
    <w:rsid w:val="00F40367"/>
    <w:rsid w:val="00F403C9"/>
    <w:rsid w:val="00F404A6"/>
    <w:rsid w:val="00F422A3"/>
    <w:rsid w:val="00F43574"/>
    <w:rsid w:val="00F43C6D"/>
    <w:rsid w:val="00F43DE7"/>
    <w:rsid w:val="00F4454A"/>
    <w:rsid w:val="00F45D38"/>
    <w:rsid w:val="00F46F37"/>
    <w:rsid w:val="00F50EBC"/>
    <w:rsid w:val="00F51B8A"/>
    <w:rsid w:val="00F52AE8"/>
    <w:rsid w:val="00F53F1C"/>
    <w:rsid w:val="00F5418C"/>
    <w:rsid w:val="00F546CB"/>
    <w:rsid w:val="00F57277"/>
    <w:rsid w:val="00F60279"/>
    <w:rsid w:val="00F6114D"/>
    <w:rsid w:val="00F623FE"/>
    <w:rsid w:val="00F62605"/>
    <w:rsid w:val="00F63594"/>
    <w:rsid w:val="00F647C7"/>
    <w:rsid w:val="00F6523F"/>
    <w:rsid w:val="00F65B0E"/>
    <w:rsid w:val="00F65F1E"/>
    <w:rsid w:val="00F70CA2"/>
    <w:rsid w:val="00F744A1"/>
    <w:rsid w:val="00F75968"/>
    <w:rsid w:val="00F774E5"/>
    <w:rsid w:val="00F80248"/>
    <w:rsid w:val="00F80D0A"/>
    <w:rsid w:val="00F82390"/>
    <w:rsid w:val="00F82871"/>
    <w:rsid w:val="00F838B5"/>
    <w:rsid w:val="00F83963"/>
    <w:rsid w:val="00F83E3E"/>
    <w:rsid w:val="00F84DD9"/>
    <w:rsid w:val="00F85869"/>
    <w:rsid w:val="00F85F89"/>
    <w:rsid w:val="00F8600A"/>
    <w:rsid w:val="00F87B1C"/>
    <w:rsid w:val="00F9080A"/>
    <w:rsid w:val="00F9168E"/>
    <w:rsid w:val="00F91DEA"/>
    <w:rsid w:val="00F92D77"/>
    <w:rsid w:val="00F93D31"/>
    <w:rsid w:val="00F954B3"/>
    <w:rsid w:val="00F96E35"/>
    <w:rsid w:val="00F970CF"/>
    <w:rsid w:val="00F97301"/>
    <w:rsid w:val="00F97D6D"/>
    <w:rsid w:val="00FA1CFE"/>
    <w:rsid w:val="00FA27C7"/>
    <w:rsid w:val="00FA2C72"/>
    <w:rsid w:val="00FA43A6"/>
    <w:rsid w:val="00FA44FE"/>
    <w:rsid w:val="00FA60AD"/>
    <w:rsid w:val="00FA71E7"/>
    <w:rsid w:val="00FA784A"/>
    <w:rsid w:val="00FA7E64"/>
    <w:rsid w:val="00FB1164"/>
    <w:rsid w:val="00FB1462"/>
    <w:rsid w:val="00FB1CFE"/>
    <w:rsid w:val="00FB43A4"/>
    <w:rsid w:val="00FB4DFF"/>
    <w:rsid w:val="00FB4F4E"/>
    <w:rsid w:val="00FB54AC"/>
    <w:rsid w:val="00FB61CB"/>
    <w:rsid w:val="00FB6FE3"/>
    <w:rsid w:val="00FC0B85"/>
    <w:rsid w:val="00FC140F"/>
    <w:rsid w:val="00FC2FD6"/>
    <w:rsid w:val="00FC3528"/>
    <w:rsid w:val="00FC4024"/>
    <w:rsid w:val="00FC45C1"/>
    <w:rsid w:val="00FC4A5C"/>
    <w:rsid w:val="00FC4FCC"/>
    <w:rsid w:val="00FC5E5F"/>
    <w:rsid w:val="00FC62A9"/>
    <w:rsid w:val="00FC7C1E"/>
    <w:rsid w:val="00FD04EE"/>
    <w:rsid w:val="00FD0A30"/>
    <w:rsid w:val="00FD1337"/>
    <w:rsid w:val="00FD1CE9"/>
    <w:rsid w:val="00FD2EF3"/>
    <w:rsid w:val="00FD3A29"/>
    <w:rsid w:val="00FD4E4A"/>
    <w:rsid w:val="00FD5BDC"/>
    <w:rsid w:val="00FD5DA6"/>
    <w:rsid w:val="00FD6E2B"/>
    <w:rsid w:val="00FD71FE"/>
    <w:rsid w:val="00FD7676"/>
    <w:rsid w:val="00FE2445"/>
    <w:rsid w:val="00FE35EE"/>
    <w:rsid w:val="00FE3752"/>
    <w:rsid w:val="00FE7040"/>
    <w:rsid w:val="00FE7C25"/>
    <w:rsid w:val="00FF01B0"/>
    <w:rsid w:val="00FF05BC"/>
    <w:rsid w:val="00FF1512"/>
    <w:rsid w:val="00FF2C72"/>
    <w:rsid w:val="00FF3800"/>
    <w:rsid w:val="00FF46B9"/>
    <w:rsid w:val="00FF5CB3"/>
    <w:rsid w:val="00FF6381"/>
    <w:rsid w:val="00FF6CEA"/>
    <w:rsid w:val="00FF7EEC"/>
    <w:rsid w:val="03D77682"/>
    <w:rsid w:val="043C3BFF"/>
    <w:rsid w:val="04AB6F99"/>
    <w:rsid w:val="063B7194"/>
    <w:rsid w:val="068D1BAD"/>
    <w:rsid w:val="07B30001"/>
    <w:rsid w:val="07DB0D1B"/>
    <w:rsid w:val="08B740B3"/>
    <w:rsid w:val="0A8F30A2"/>
    <w:rsid w:val="0AED49F2"/>
    <w:rsid w:val="0B307789"/>
    <w:rsid w:val="0F72797C"/>
    <w:rsid w:val="0FA125CD"/>
    <w:rsid w:val="112A22DF"/>
    <w:rsid w:val="11744B2C"/>
    <w:rsid w:val="11C75D80"/>
    <w:rsid w:val="11D502F2"/>
    <w:rsid w:val="13333E1D"/>
    <w:rsid w:val="141D58E8"/>
    <w:rsid w:val="14AD2842"/>
    <w:rsid w:val="14CE0B2A"/>
    <w:rsid w:val="15053ED7"/>
    <w:rsid w:val="15114F0F"/>
    <w:rsid w:val="15B27D47"/>
    <w:rsid w:val="165B47AF"/>
    <w:rsid w:val="167644FD"/>
    <w:rsid w:val="16930713"/>
    <w:rsid w:val="16E94957"/>
    <w:rsid w:val="16EF4281"/>
    <w:rsid w:val="178E4975"/>
    <w:rsid w:val="17A73DA0"/>
    <w:rsid w:val="17D9686C"/>
    <w:rsid w:val="1A11532C"/>
    <w:rsid w:val="1A2836D8"/>
    <w:rsid w:val="1A9377AB"/>
    <w:rsid w:val="1B9368CB"/>
    <w:rsid w:val="1C6C402D"/>
    <w:rsid w:val="1D00159D"/>
    <w:rsid w:val="1E96185E"/>
    <w:rsid w:val="1EDF0BAD"/>
    <w:rsid w:val="1F4104A5"/>
    <w:rsid w:val="1FF32470"/>
    <w:rsid w:val="1FF657A2"/>
    <w:rsid w:val="20934622"/>
    <w:rsid w:val="20F63442"/>
    <w:rsid w:val="21A34113"/>
    <w:rsid w:val="22020520"/>
    <w:rsid w:val="222F7A45"/>
    <w:rsid w:val="23D700A4"/>
    <w:rsid w:val="25E90563"/>
    <w:rsid w:val="26E54F2F"/>
    <w:rsid w:val="28395D23"/>
    <w:rsid w:val="2882146F"/>
    <w:rsid w:val="28867AA2"/>
    <w:rsid w:val="297975D1"/>
    <w:rsid w:val="29AA0851"/>
    <w:rsid w:val="29FF45A0"/>
    <w:rsid w:val="2CA360A8"/>
    <w:rsid w:val="2DEC1F75"/>
    <w:rsid w:val="2E4400FC"/>
    <w:rsid w:val="2EA56578"/>
    <w:rsid w:val="2EC21951"/>
    <w:rsid w:val="2EEB5001"/>
    <w:rsid w:val="2F0E1BCD"/>
    <w:rsid w:val="2F9D6DB9"/>
    <w:rsid w:val="30470360"/>
    <w:rsid w:val="30816A5F"/>
    <w:rsid w:val="30823A8E"/>
    <w:rsid w:val="30FF3CD1"/>
    <w:rsid w:val="315E7D43"/>
    <w:rsid w:val="31E71DFA"/>
    <w:rsid w:val="31F55A5E"/>
    <w:rsid w:val="31F57502"/>
    <w:rsid w:val="32022285"/>
    <w:rsid w:val="349C5DE5"/>
    <w:rsid w:val="34A5249B"/>
    <w:rsid w:val="34CB5A03"/>
    <w:rsid w:val="35A703B0"/>
    <w:rsid w:val="36AB4CDA"/>
    <w:rsid w:val="36DE12F2"/>
    <w:rsid w:val="370B285A"/>
    <w:rsid w:val="379C22B3"/>
    <w:rsid w:val="37DF37A4"/>
    <w:rsid w:val="389D71DE"/>
    <w:rsid w:val="39CE6632"/>
    <w:rsid w:val="3A2772F6"/>
    <w:rsid w:val="3AF4133D"/>
    <w:rsid w:val="3B900DC8"/>
    <w:rsid w:val="3BC60CD2"/>
    <w:rsid w:val="3BC94CDA"/>
    <w:rsid w:val="3C65673D"/>
    <w:rsid w:val="3D335B47"/>
    <w:rsid w:val="3D7C7B14"/>
    <w:rsid w:val="3E4F4FB5"/>
    <w:rsid w:val="3EEF6C8B"/>
    <w:rsid w:val="404448BC"/>
    <w:rsid w:val="42640588"/>
    <w:rsid w:val="42B641C3"/>
    <w:rsid w:val="42CC71C8"/>
    <w:rsid w:val="431542ED"/>
    <w:rsid w:val="43DC60B2"/>
    <w:rsid w:val="4450382F"/>
    <w:rsid w:val="45254A49"/>
    <w:rsid w:val="45945AC3"/>
    <w:rsid w:val="45B0020F"/>
    <w:rsid w:val="48282F4E"/>
    <w:rsid w:val="4A4014E0"/>
    <w:rsid w:val="4A8E26E6"/>
    <w:rsid w:val="4B127428"/>
    <w:rsid w:val="4B1650A7"/>
    <w:rsid w:val="4B576A40"/>
    <w:rsid w:val="4D005D50"/>
    <w:rsid w:val="4D381FDB"/>
    <w:rsid w:val="4D602609"/>
    <w:rsid w:val="4EE04FB0"/>
    <w:rsid w:val="4F254515"/>
    <w:rsid w:val="511011B8"/>
    <w:rsid w:val="5151270A"/>
    <w:rsid w:val="515432AF"/>
    <w:rsid w:val="51BD627C"/>
    <w:rsid w:val="52811A4F"/>
    <w:rsid w:val="533F1F43"/>
    <w:rsid w:val="5362004A"/>
    <w:rsid w:val="537528E2"/>
    <w:rsid w:val="53CB1CCF"/>
    <w:rsid w:val="53F70AB2"/>
    <w:rsid w:val="5462519D"/>
    <w:rsid w:val="55C433E7"/>
    <w:rsid w:val="56631DAF"/>
    <w:rsid w:val="56DE5B63"/>
    <w:rsid w:val="57711530"/>
    <w:rsid w:val="57A85E56"/>
    <w:rsid w:val="57E73733"/>
    <w:rsid w:val="59E1228B"/>
    <w:rsid w:val="5A596455"/>
    <w:rsid w:val="5B7B60A2"/>
    <w:rsid w:val="5BEC1C38"/>
    <w:rsid w:val="5DA76494"/>
    <w:rsid w:val="5E1D07CE"/>
    <w:rsid w:val="5E396419"/>
    <w:rsid w:val="5E657EEE"/>
    <w:rsid w:val="5E766130"/>
    <w:rsid w:val="5E8221E2"/>
    <w:rsid w:val="5EE25574"/>
    <w:rsid w:val="5F3E6C4E"/>
    <w:rsid w:val="5FC2767A"/>
    <w:rsid w:val="603F3EAD"/>
    <w:rsid w:val="613A35D7"/>
    <w:rsid w:val="61EB0BE3"/>
    <w:rsid w:val="62033E14"/>
    <w:rsid w:val="62086704"/>
    <w:rsid w:val="621A6DD3"/>
    <w:rsid w:val="622E08CC"/>
    <w:rsid w:val="63A77390"/>
    <w:rsid w:val="63FE3E0A"/>
    <w:rsid w:val="642E46B1"/>
    <w:rsid w:val="651A36E6"/>
    <w:rsid w:val="660A2414"/>
    <w:rsid w:val="67021B74"/>
    <w:rsid w:val="67CA1C41"/>
    <w:rsid w:val="6A553058"/>
    <w:rsid w:val="6AE30ED8"/>
    <w:rsid w:val="6B3506F9"/>
    <w:rsid w:val="6B630ECC"/>
    <w:rsid w:val="6B832705"/>
    <w:rsid w:val="6BA36BE1"/>
    <w:rsid w:val="6CBC7B76"/>
    <w:rsid w:val="6D290723"/>
    <w:rsid w:val="6E162B44"/>
    <w:rsid w:val="6E1F68C6"/>
    <w:rsid w:val="6F0310A1"/>
    <w:rsid w:val="7145561B"/>
    <w:rsid w:val="722A0B47"/>
    <w:rsid w:val="723314F1"/>
    <w:rsid w:val="72356C6F"/>
    <w:rsid w:val="72855B25"/>
    <w:rsid w:val="73267CCD"/>
    <w:rsid w:val="73504D4A"/>
    <w:rsid w:val="74E02DBE"/>
    <w:rsid w:val="74E86E97"/>
    <w:rsid w:val="77E31CE9"/>
    <w:rsid w:val="7A092C03"/>
    <w:rsid w:val="7A7E71CA"/>
    <w:rsid w:val="7C7A6994"/>
    <w:rsid w:val="7C9D7170"/>
    <w:rsid w:val="7CDB5234"/>
    <w:rsid w:val="7EA83C8C"/>
    <w:rsid w:val="7FEE27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91F212E-1A3B-43B8-B7E0-C618B4F02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pPr>
      <w:widowControl w:val="0"/>
      <w:jc w:val="both"/>
    </w:pPr>
    <w:rPr>
      <w:kern w:val="2"/>
      <w:sz w:val="21"/>
      <w:szCs w:val="24"/>
    </w:rPr>
  </w:style>
  <w:style w:type="paragraph" w:styleId="1">
    <w:name w:val="heading 1"/>
    <w:basedOn w:val="af5"/>
    <w:next w:val="af5"/>
    <w:qFormat/>
    <w:pPr>
      <w:keepNext/>
      <w:keepLines/>
      <w:spacing w:before="340" w:after="330" w:line="576" w:lineRule="auto"/>
      <w:outlineLvl w:val="0"/>
    </w:pPr>
    <w:rPr>
      <w:b/>
      <w:kern w:val="44"/>
      <w:sz w:val="44"/>
    </w:rPr>
  </w:style>
  <w:style w:type="paragraph" w:styleId="2">
    <w:name w:val="heading 2"/>
    <w:basedOn w:val="af5"/>
    <w:next w:val="af5"/>
    <w:unhideWhenUsed/>
    <w:qFormat/>
    <w:pPr>
      <w:keepNext/>
      <w:keepLines/>
      <w:spacing w:before="260" w:after="260" w:line="413" w:lineRule="auto"/>
      <w:outlineLvl w:val="1"/>
    </w:pPr>
    <w:rPr>
      <w:rFonts w:ascii="Arial" w:eastAsia="黑体" w:hAnsi="Arial"/>
      <w:b/>
      <w:sz w:val="32"/>
    </w:rPr>
  </w:style>
  <w:style w:type="paragraph" w:styleId="3">
    <w:name w:val="heading 3"/>
    <w:basedOn w:val="af5"/>
    <w:next w:val="af5"/>
    <w:unhideWhenUsed/>
    <w:qFormat/>
    <w:pPr>
      <w:keepNext/>
      <w:keepLines/>
      <w:spacing w:before="260" w:after="260" w:line="413" w:lineRule="auto"/>
      <w:outlineLvl w:val="2"/>
    </w:pPr>
    <w:rPr>
      <w:b/>
      <w:sz w:val="32"/>
    </w:rPr>
  </w:style>
  <w:style w:type="paragraph" w:styleId="4">
    <w:name w:val="heading 4"/>
    <w:basedOn w:val="af5"/>
    <w:next w:val="af5"/>
    <w:unhideWhenUsed/>
    <w:qFormat/>
    <w:pPr>
      <w:keepNext/>
      <w:keepLines/>
      <w:spacing w:before="280" w:after="290" w:line="372" w:lineRule="auto"/>
      <w:outlineLvl w:val="3"/>
    </w:pPr>
    <w:rPr>
      <w:rFonts w:ascii="Arial" w:eastAsia="黑体" w:hAnsi="Arial"/>
      <w:b/>
      <w:sz w:val="28"/>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caption"/>
    <w:basedOn w:val="af5"/>
    <w:next w:val="af5"/>
    <w:semiHidden/>
    <w:unhideWhenUsed/>
    <w:qFormat/>
    <w:pPr>
      <w:widowControl/>
    </w:pPr>
    <w:rPr>
      <w:rFonts w:ascii="Arial" w:eastAsia="黑体" w:hAnsi="Arial"/>
      <w:sz w:val="20"/>
      <w:szCs w:val="20"/>
    </w:rPr>
  </w:style>
  <w:style w:type="paragraph" w:styleId="afa">
    <w:name w:val="Document Map"/>
    <w:basedOn w:val="af5"/>
    <w:link w:val="Char"/>
    <w:semiHidden/>
    <w:unhideWhenUsed/>
    <w:qFormat/>
    <w:rPr>
      <w:rFonts w:ascii="宋体"/>
      <w:sz w:val="18"/>
      <w:szCs w:val="18"/>
    </w:rPr>
  </w:style>
  <w:style w:type="paragraph" w:styleId="afb">
    <w:name w:val="annotation text"/>
    <w:basedOn w:val="af5"/>
    <w:link w:val="Char0"/>
    <w:semiHidden/>
    <w:unhideWhenUsed/>
    <w:qFormat/>
    <w:pPr>
      <w:jc w:val="left"/>
    </w:pPr>
  </w:style>
  <w:style w:type="paragraph" w:styleId="afc">
    <w:name w:val="Plain Text"/>
    <w:basedOn w:val="af5"/>
    <w:link w:val="Char1"/>
    <w:qFormat/>
    <w:rPr>
      <w:rFonts w:ascii="宋体" w:hAnsi="Courier New"/>
      <w:szCs w:val="21"/>
    </w:rPr>
  </w:style>
  <w:style w:type="paragraph" w:styleId="afd">
    <w:name w:val="Date"/>
    <w:basedOn w:val="af5"/>
    <w:next w:val="af5"/>
    <w:link w:val="Char2"/>
    <w:semiHidden/>
    <w:unhideWhenUsed/>
    <w:qFormat/>
    <w:pPr>
      <w:ind w:leftChars="2500" w:left="100"/>
    </w:pPr>
  </w:style>
  <w:style w:type="paragraph" w:styleId="afe">
    <w:name w:val="Balloon Text"/>
    <w:basedOn w:val="af5"/>
    <w:link w:val="Char3"/>
    <w:qFormat/>
    <w:rPr>
      <w:sz w:val="18"/>
      <w:szCs w:val="18"/>
    </w:rPr>
  </w:style>
  <w:style w:type="paragraph" w:styleId="aff">
    <w:name w:val="footer"/>
    <w:basedOn w:val="af5"/>
    <w:link w:val="Char4"/>
    <w:uiPriority w:val="99"/>
    <w:qFormat/>
    <w:pPr>
      <w:tabs>
        <w:tab w:val="center" w:pos="4153"/>
        <w:tab w:val="right" w:pos="8306"/>
      </w:tabs>
      <w:snapToGrid w:val="0"/>
      <w:jc w:val="left"/>
    </w:pPr>
    <w:rPr>
      <w:sz w:val="18"/>
      <w:szCs w:val="18"/>
    </w:rPr>
  </w:style>
  <w:style w:type="paragraph" w:styleId="aff0">
    <w:name w:val="header"/>
    <w:basedOn w:val="af5"/>
    <w:link w:val="Char5"/>
    <w:qFormat/>
    <w:pPr>
      <w:pBdr>
        <w:bottom w:val="single" w:sz="6" w:space="1" w:color="auto"/>
      </w:pBdr>
      <w:tabs>
        <w:tab w:val="center" w:pos="4153"/>
        <w:tab w:val="right" w:pos="8306"/>
      </w:tabs>
      <w:snapToGrid w:val="0"/>
      <w:jc w:val="center"/>
    </w:pPr>
    <w:rPr>
      <w:sz w:val="18"/>
      <w:szCs w:val="18"/>
    </w:rPr>
  </w:style>
  <w:style w:type="paragraph" w:styleId="aff1">
    <w:name w:val="Normal (Web)"/>
    <w:basedOn w:val="af5"/>
    <w:uiPriority w:val="99"/>
    <w:semiHidden/>
    <w:unhideWhenUsed/>
    <w:qFormat/>
    <w:pPr>
      <w:widowControl/>
      <w:spacing w:before="100" w:beforeAutospacing="1" w:after="100" w:afterAutospacing="1"/>
      <w:jc w:val="left"/>
    </w:pPr>
    <w:rPr>
      <w:rFonts w:ascii="宋体" w:hAnsi="宋体" w:cs="宋体"/>
      <w:kern w:val="0"/>
      <w:sz w:val="24"/>
    </w:rPr>
  </w:style>
  <w:style w:type="paragraph" w:styleId="aff2">
    <w:name w:val="Title"/>
    <w:basedOn w:val="af5"/>
    <w:next w:val="af5"/>
    <w:link w:val="Char6"/>
    <w:qFormat/>
    <w:pPr>
      <w:spacing w:before="240" w:after="60"/>
      <w:jc w:val="center"/>
      <w:outlineLvl w:val="0"/>
    </w:pPr>
    <w:rPr>
      <w:rFonts w:asciiTheme="majorHAnsi" w:eastAsiaTheme="majorEastAsia" w:hAnsiTheme="majorHAnsi" w:cstheme="majorBidi"/>
      <w:b/>
      <w:bCs/>
      <w:sz w:val="32"/>
      <w:szCs w:val="32"/>
    </w:rPr>
  </w:style>
  <w:style w:type="paragraph" w:styleId="aff3">
    <w:name w:val="annotation subject"/>
    <w:basedOn w:val="afb"/>
    <w:next w:val="afb"/>
    <w:link w:val="Char7"/>
    <w:semiHidden/>
    <w:unhideWhenUsed/>
    <w:qFormat/>
    <w:rPr>
      <w:b/>
      <w:bCs/>
    </w:rPr>
  </w:style>
  <w:style w:type="table" w:styleId="aff4">
    <w:name w:val="Table Grid"/>
    <w:basedOn w:val="af7"/>
    <w:uiPriority w:val="39"/>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page number"/>
    <w:basedOn w:val="af6"/>
    <w:qFormat/>
  </w:style>
  <w:style w:type="character" w:styleId="aff6">
    <w:name w:val="Hyperlink"/>
    <w:basedOn w:val="af6"/>
    <w:uiPriority w:val="99"/>
    <w:semiHidden/>
    <w:unhideWhenUsed/>
    <w:qFormat/>
    <w:rPr>
      <w:color w:val="0000FF"/>
      <w:u w:val="single"/>
    </w:rPr>
  </w:style>
  <w:style w:type="character" w:styleId="aff7">
    <w:name w:val="annotation reference"/>
    <w:basedOn w:val="af6"/>
    <w:semiHidden/>
    <w:unhideWhenUsed/>
    <w:qFormat/>
    <w:rPr>
      <w:sz w:val="21"/>
      <w:szCs w:val="21"/>
    </w:rPr>
  </w:style>
  <w:style w:type="character" w:customStyle="1" w:styleId="Char5">
    <w:name w:val="页眉 Char"/>
    <w:basedOn w:val="af6"/>
    <w:link w:val="aff0"/>
    <w:qFormat/>
    <w:rPr>
      <w:kern w:val="2"/>
      <w:sz w:val="18"/>
      <w:szCs w:val="18"/>
    </w:rPr>
  </w:style>
  <w:style w:type="paragraph" w:styleId="aff8">
    <w:name w:val="List Paragraph"/>
    <w:basedOn w:val="af5"/>
    <w:uiPriority w:val="34"/>
    <w:qFormat/>
    <w:pPr>
      <w:spacing w:line="460" w:lineRule="exact"/>
      <w:ind w:firstLineChars="200" w:firstLine="420"/>
    </w:pPr>
    <w:rPr>
      <w:sz w:val="24"/>
      <w:szCs w:val="21"/>
    </w:rPr>
  </w:style>
  <w:style w:type="character" w:customStyle="1" w:styleId="Char3">
    <w:name w:val="批注框文本 Char"/>
    <w:basedOn w:val="af6"/>
    <w:link w:val="afe"/>
    <w:qFormat/>
    <w:rPr>
      <w:kern w:val="2"/>
      <w:sz w:val="18"/>
      <w:szCs w:val="18"/>
    </w:rPr>
  </w:style>
  <w:style w:type="paragraph" w:customStyle="1" w:styleId="aff9">
    <w:name w:val="段"/>
    <w:link w:val="Char8"/>
    <w:qFormat/>
    <w:pPr>
      <w:tabs>
        <w:tab w:val="center" w:pos="4201"/>
        <w:tab w:val="right" w:leader="dot" w:pos="9298"/>
      </w:tabs>
      <w:autoSpaceDE w:val="0"/>
      <w:autoSpaceDN w:val="0"/>
      <w:ind w:firstLineChars="200" w:firstLine="420"/>
      <w:jc w:val="both"/>
    </w:pPr>
    <w:rPr>
      <w:rFonts w:ascii="宋体"/>
      <w:sz w:val="21"/>
    </w:rPr>
  </w:style>
  <w:style w:type="character" w:customStyle="1" w:styleId="Char8">
    <w:name w:val="段 Char"/>
    <w:basedOn w:val="af6"/>
    <w:link w:val="aff9"/>
    <w:qFormat/>
    <w:rPr>
      <w:rFonts w:ascii="宋体"/>
      <w:sz w:val="21"/>
    </w:rPr>
  </w:style>
  <w:style w:type="paragraph" w:customStyle="1" w:styleId="ab">
    <w:name w:val="附录表标号"/>
    <w:basedOn w:val="af5"/>
    <w:next w:val="aff9"/>
    <w:qFormat/>
    <w:pPr>
      <w:numPr>
        <w:numId w:val="1"/>
      </w:numPr>
      <w:tabs>
        <w:tab w:val="clear" w:pos="0"/>
      </w:tabs>
      <w:spacing w:line="14" w:lineRule="exact"/>
      <w:ind w:left="811" w:hanging="448"/>
      <w:jc w:val="center"/>
      <w:outlineLvl w:val="0"/>
    </w:pPr>
    <w:rPr>
      <w:color w:val="FFFFFF"/>
    </w:rPr>
  </w:style>
  <w:style w:type="paragraph" w:customStyle="1" w:styleId="ac">
    <w:name w:val="附录表标题"/>
    <w:basedOn w:val="af5"/>
    <w:next w:val="aff9"/>
    <w:qFormat/>
    <w:pPr>
      <w:numPr>
        <w:ilvl w:val="1"/>
        <w:numId w:val="1"/>
      </w:numPr>
      <w:tabs>
        <w:tab w:val="left" w:pos="180"/>
      </w:tabs>
      <w:spacing w:beforeLines="50" w:afterLines="50"/>
      <w:ind w:left="0" w:firstLine="0"/>
      <w:jc w:val="center"/>
    </w:pPr>
    <w:rPr>
      <w:rFonts w:ascii="黑体" w:eastAsia="黑体"/>
      <w:szCs w:val="21"/>
    </w:rPr>
  </w:style>
  <w:style w:type="paragraph" w:customStyle="1" w:styleId="10">
    <w:name w:val="修订1"/>
    <w:hidden/>
    <w:uiPriority w:val="99"/>
    <w:semiHidden/>
    <w:qFormat/>
    <w:rPr>
      <w:kern w:val="2"/>
      <w:sz w:val="21"/>
      <w:szCs w:val="24"/>
    </w:rPr>
  </w:style>
  <w:style w:type="paragraph" w:customStyle="1" w:styleId="a0">
    <w:name w:val="一级条标题"/>
    <w:next w:val="aff9"/>
    <w:qFormat/>
    <w:pPr>
      <w:numPr>
        <w:ilvl w:val="1"/>
        <w:numId w:val="2"/>
      </w:numPr>
      <w:spacing w:beforeLines="50" w:afterLines="50"/>
      <w:ind w:left="2694"/>
      <w:outlineLvl w:val="2"/>
    </w:pPr>
    <w:rPr>
      <w:rFonts w:ascii="黑体" w:eastAsia="黑体"/>
      <w:sz w:val="21"/>
      <w:szCs w:val="21"/>
    </w:rPr>
  </w:style>
  <w:style w:type="paragraph" w:customStyle="1" w:styleId="a">
    <w:name w:val="章标题"/>
    <w:next w:val="aff9"/>
    <w:qFormat/>
    <w:pPr>
      <w:numPr>
        <w:numId w:val="2"/>
      </w:numPr>
      <w:spacing w:beforeLines="100" w:afterLines="100"/>
      <w:jc w:val="both"/>
      <w:outlineLvl w:val="1"/>
    </w:pPr>
    <w:rPr>
      <w:rFonts w:ascii="黑体" w:eastAsia="黑体"/>
      <w:sz w:val="21"/>
    </w:rPr>
  </w:style>
  <w:style w:type="paragraph" w:customStyle="1" w:styleId="a1">
    <w:name w:val="二级条标题"/>
    <w:basedOn w:val="a0"/>
    <w:next w:val="aff9"/>
    <w:qFormat/>
    <w:pPr>
      <w:numPr>
        <w:ilvl w:val="2"/>
      </w:numPr>
      <w:spacing w:before="50" w:after="50"/>
      <w:outlineLvl w:val="3"/>
    </w:pPr>
  </w:style>
  <w:style w:type="paragraph" w:customStyle="1" w:styleId="a5">
    <w:name w:val="列项——（一级）"/>
    <w:qFormat/>
    <w:pPr>
      <w:widowControl w:val="0"/>
      <w:numPr>
        <w:numId w:val="3"/>
      </w:numPr>
      <w:jc w:val="both"/>
    </w:pPr>
    <w:rPr>
      <w:rFonts w:ascii="宋体"/>
      <w:sz w:val="21"/>
    </w:rPr>
  </w:style>
  <w:style w:type="paragraph" w:customStyle="1" w:styleId="a6">
    <w:name w:val="列项●（二级）"/>
    <w:qFormat/>
    <w:pPr>
      <w:numPr>
        <w:ilvl w:val="1"/>
        <w:numId w:val="3"/>
      </w:numPr>
      <w:tabs>
        <w:tab w:val="left" w:pos="840"/>
      </w:tabs>
      <w:jc w:val="both"/>
    </w:pPr>
    <w:rPr>
      <w:rFonts w:ascii="宋体"/>
      <w:sz w:val="21"/>
    </w:rPr>
  </w:style>
  <w:style w:type="paragraph" w:customStyle="1" w:styleId="a2">
    <w:name w:val="三级条标题"/>
    <w:basedOn w:val="a1"/>
    <w:next w:val="aff9"/>
    <w:qFormat/>
    <w:pPr>
      <w:numPr>
        <w:ilvl w:val="3"/>
      </w:numPr>
      <w:outlineLvl w:val="4"/>
    </w:pPr>
  </w:style>
  <w:style w:type="paragraph" w:customStyle="1" w:styleId="a3">
    <w:name w:val="四级条标题"/>
    <w:basedOn w:val="a2"/>
    <w:next w:val="aff9"/>
    <w:qFormat/>
    <w:pPr>
      <w:numPr>
        <w:ilvl w:val="4"/>
      </w:numPr>
      <w:outlineLvl w:val="5"/>
    </w:pPr>
  </w:style>
  <w:style w:type="paragraph" w:customStyle="1" w:styleId="a4">
    <w:name w:val="五级条标题"/>
    <w:basedOn w:val="a3"/>
    <w:next w:val="aff9"/>
    <w:qFormat/>
    <w:pPr>
      <w:numPr>
        <w:ilvl w:val="5"/>
      </w:numPr>
      <w:outlineLvl w:val="6"/>
    </w:pPr>
  </w:style>
  <w:style w:type="paragraph" w:customStyle="1" w:styleId="a7">
    <w:name w:val="列项◆（三级）"/>
    <w:basedOn w:val="af5"/>
    <w:qFormat/>
    <w:pPr>
      <w:numPr>
        <w:ilvl w:val="2"/>
        <w:numId w:val="3"/>
      </w:numPr>
    </w:pPr>
    <w:rPr>
      <w:rFonts w:ascii="宋体"/>
      <w:szCs w:val="21"/>
    </w:rPr>
  </w:style>
  <w:style w:type="character" w:customStyle="1" w:styleId="Char">
    <w:name w:val="文档结构图 Char"/>
    <w:basedOn w:val="af6"/>
    <w:link w:val="afa"/>
    <w:semiHidden/>
    <w:qFormat/>
    <w:rPr>
      <w:rFonts w:ascii="宋体"/>
      <w:kern w:val="2"/>
      <w:sz w:val="18"/>
      <w:szCs w:val="18"/>
    </w:rPr>
  </w:style>
  <w:style w:type="character" w:customStyle="1" w:styleId="Char4">
    <w:name w:val="页脚 Char"/>
    <w:basedOn w:val="af6"/>
    <w:link w:val="aff"/>
    <w:uiPriority w:val="99"/>
    <w:qFormat/>
    <w:rPr>
      <w:kern w:val="2"/>
      <w:sz w:val="18"/>
      <w:szCs w:val="18"/>
    </w:rPr>
  </w:style>
  <w:style w:type="character" w:customStyle="1" w:styleId="Char0">
    <w:name w:val="批注文字 Char"/>
    <w:basedOn w:val="af6"/>
    <w:link w:val="afb"/>
    <w:semiHidden/>
    <w:qFormat/>
    <w:rPr>
      <w:kern w:val="2"/>
      <w:sz w:val="21"/>
      <w:szCs w:val="24"/>
    </w:rPr>
  </w:style>
  <w:style w:type="character" w:customStyle="1" w:styleId="Char7">
    <w:name w:val="批注主题 Char"/>
    <w:basedOn w:val="Char0"/>
    <w:link w:val="aff3"/>
    <w:semiHidden/>
    <w:qFormat/>
    <w:rPr>
      <w:b/>
      <w:bCs/>
      <w:kern w:val="2"/>
      <w:sz w:val="21"/>
      <w:szCs w:val="24"/>
    </w:rPr>
  </w:style>
  <w:style w:type="character" w:customStyle="1" w:styleId="xdrichtextbox2">
    <w:name w:val="xdrichtextbox2"/>
    <w:basedOn w:val="af6"/>
    <w:qFormat/>
    <w:rPr>
      <w:color w:val="0000FF"/>
      <w:sz w:val="18"/>
      <w:szCs w:val="18"/>
      <w:u w:val="none"/>
      <w:bdr w:val="single" w:sz="8" w:space="0" w:color="DCDCDC"/>
      <w:shd w:val="clear" w:color="auto" w:fill="FFFFFF"/>
    </w:rPr>
  </w:style>
  <w:style w:type="character" w:customStyle="1" w:styleId="Char2">
    <w:name w:val="日期 Char"/>
    <w:basedOn w:val="af6"/>
    <w:link w:val="afd"/>
    <w:semiHidden/>
    <w:qFormat/>
    <w:rPr>
      <w:kern w:val="2"/>
      <w:sz w:val="21"/>
      <w:szCs w:val="24"/>
    </w:rPr>
  </w:style>
  <w:style w:type="character" w:customStyle="1" w:styleId="Char1">
    <w:name w:val="纯文本 Char"/>
    <w:basedOn w:val="af6"/>
    <w:link w:val="afc"/>
    <w:qFormat/>
    <w:rPr>
      <w:rFonts w:ascii="宋体" w:hAnsi="Courier New"/>
      <w:kern w:val="2"/>
      <w:sz w:val="21"/>
      <w:szCs w:val="21"/>
    </w:rPr>
  </w:style>
  <w:style w:type="paragraph" w:customStyle="1" w:styleId="11">
    <w:name w:val="列出段落1"/>
    <w:basedOn w:val="af5"/>
    <w:uiPriority w:val="34"/>
    <w:qFormat/>
    <w:pPr>
      <w:ind w:firstLineChars="200" w:firstLine="420"/>
    </w:pPr>
  </w:style>
  <w:style w:type="paragraph" w:customStyle="1" w:styleId="a9">
    <w:name w:val="数字编号列项（二级）"/>
    <w:qFormat/>
    <w:pPr>
      <w:numPr>
        <w:ilvl w:val="1"/>
        <w:numId w:val="4"/>
      </w:numPr>
      <w:jc w:val="both"/>
    </w:pPr>
    <w:rPr>
      <w:rFonts w:ascii="宋体"/>
      <w:sz w:val="21"/>
    </w:rPr>
  </w:style>
  <w:style w:type="paragraph" w:customStyle="1" w:styleId="a8">
    <w:name w:val="字母编号列项（一级）"/>
    <w:qFormat/>
    <w:pPr>
      <w:numPr>
        <w:numId w:val="4"/>
      </w:numPr>
      <w:jc w:val="both"/>
    </w:pPr>
    <w:rPr>
      <w:rFonts w:ascii="宋体"/>
      <w:sz w:val="21"/>
    </w:rPr>
  </w:style>
  <w:style w:type="paragraph" w:customStyle="1" w:styleId="aa">
    <w:name w:val="编号列项（三级）"/>
    <w:qFormat/>
    <w:pPr>
      <w:numPr>
        <w:ilvl w:val="2"/>
        <w:numId w:val="4"/>
      </w:numPr>
    </w:pPr>
    <w:rPr>
      <w:rFonts w:ascii="宋体"/>
      <w:sz w:val="21"/>
    </w:rPr>
  </w:style>
  <w:style w:type="paragraph" w:customStyle="1" w:styleId="affa">
    <w:name w:val="标准文件_段"/>
    <w:link w:val="Char9"/>
    <w:qFormat/>
    <w:pPr>
      <w:autoSpaceDE w:val="0"/>
      <w:autoSpaceDN w:val="0"/>
      <w:ind w:firstLineChars="200" w:firstLine="200"/>
      <w:jc w:val="both"/>
    </w:pPr>
    <w:rPr>
      <w:rFonts w:ascii="宋体"/>
      <w:sz w:val="21"/>
    </w:rPr>
  </w:style>
  <w:style w:type="character" w:customStyle="1" w:styleId="Char9">
    <w:name w:val="标准文件_段 Char"/>
    <w:link w:val="affa"/>
    <w:qFormat/>
    <w:rPr>
      <w:rFonts w:ascii="宋体"/>
      <w:sz w:val="21"/>
    </w:rPr>
  </w:style>
  <w:style w:type="paragraph" w:customStyle="1" w:styleId="af0">
    <w:name w:val="标准文件_二级条标题"/>
    <w:next w:val="affa"/>
    <w:qFormat/>
    <w:pPr>
      <w:widowControl w:val="0"/>
      <w:numPr>
        <w:ilvl w:val="3"/>
        <w:numId w:val="5"/>
      </w:numPr>
      <w:spacing w:beforeLines="50" w:before="50" w:afterLines="50" w:after="50"/>
      <w:ind w:left="0"/>
      <w:jc w:val="both"/>
      <w:outlineLvl w:val="2"/>
    </w:pPr>
    <w:rPr>
      <w:rFonts w:ascii="黑体" w:eastAsia="黑体"/>
      <w:sz w:val="21"/>
    </w:rPr>
  </w:style>
  <w:style w:type="paragraph" w:customStyle="1" w:styleId="af1">
    <w:name w:val="标准文件_三级条标题"/>
    <w:basedOn w:val="af0"/>
    <w:next w:val="affa"/>
    <w:qFormat/>
    <w:pPr>
      <w:widowControl/>
      <w:numPr>
        <w:ilvl w:val="4"/>
      </w:numPr>
      <w:outlineLvl w:val="3"/>
    </w:pPr>
  </w:style>
  <w:style w:type="paragraph" w:customStyle="1" w:styleId="af2">
    <w:name w:val="标准文件_四级条标题"/>
    <w:next w:val="affa"/>
    <w:qFormat/>
    <w:pPr>
      <w:widowControl w:val="0"/>
      <w:numPr>
        <w:ilvl w:val="5"/>
        <w:numId w:val="5"/>
      </w:numPr>
      <w:spacing w:beforeLines="50" w:before="50" w:afterLines="50" w:after="50"/>
      <w:jc w:val="both"/>
      <w:outlineLvl w:val="4"/>
    </w:pPr>
    <w:rPr>
      <w:rFonts w:ascii="黑体" w:eastAsia="黑体"/>
      <w:sz w:val="21"/>
    </w:rPr>
  </w:style>
  <w:style w:type="paragraph" w:customStyle="1" w:styleId="af3">
    <w:name w:val="标准文件_五级条标题"/>
    <w:next w:val="affa"/>
    <w:qFormat/>
    <w:pPr>
      <w:widowControl w:val="0"/>
      <w:numPr>
        <w:ilvl w:val="6"/>
        <w:numId w:val="5"/>
      </w:numPr>
      <w:spacing w:beforeLines="50" w:before="50" w:afterLines="50" w:after="50"/>
      <w:jc w:val="both"/>
      <w:outlineLvl w:val="5"/>
    </w:pPr>
    <w:rPr>
      <w:rFonts w:ascii="黑体" w:eastAsia="黑体"/>
      <w:sz w:val="21"/>
    </w:rPr>
  </w:style>
  <w:style w:type="paragraph" w:customStyle="1" w:styleId="ae">
    <w:name w:val="标准文件_章标题"/>
    <w:next w:val="affa"/>
    <w:qFormat/>
    <w:pPr>
      <w:numPr>
        <w:ilvl w:val="1"/>
        <w:numId w:val="5"/>
      </w:numPr>
      <w:spacing w:beforeLines="100" w:before="100" w:afterLines="100" w:after="100"/>
      <w:jc w:val="both"/>
      <w:outlineLvl w:val="0"/>
    </w:pPr>
    <w:rPr>
      <w:rFonts w:ascii="黑体" w:eastAsia="黑体"/>
      <w:sz w:val="21"/>
    </w:rPr>
  </w:style>
  <w:style w:type="paragraph" w:customStyle="1" w:styleId="af">
    <w:name w:val="标准文件_一级条标题"/>
    <w:basedOn w:val="ae"/>
    <w:next w:val="affa"/>
    <w:qFormat/>
    <w:pPr>
      <w:numPr>
        <w:ilvl w:val="2"/>
      </w:numPr>
      <w:spacing w:beforeLines="50" w:before="50" w:afterLines="50" w:after="50"/>
      <w:outlineLvl w:val="1"/>
    </w:pPr>
  </w:style>
  <w:style w:type="paragraph" w:customStyle="1" w:styleId="ad">
    <w:name w:val="前言标题"/>
    <w:next w:val="af5"/>
    <w:qFormat/>
    <w:pPr>
      <w:numPr>
        <w:numId w:val="5"/>
      </w:numPr>
      <w:shd w:val="clear" w:color="FFFFFF" w:fill="FFFFFF"/>
      <w:spacing w:before="540" w:after="600"/>
      <w:jc w:val="center"/>
      <w:outlineLvl w:val="0"/>
    </w:pPr>
    <w:rPr>
      <w:rFonts w:ascii="黑体" w:eastAsia="黑体"/>
      <w:sz w:val="32"/>
    </w:rPr>
  </w:style>
  <w:style w:type="paragraph" w:customStyle="1" w:styleId="af4">
    <w:name w:val="标准文件_注："/>
    <w:next w:val="affa"/>
    <w:qFormat/>
    <w:pPr>
      <w:widowControl w:val="0"/>
      <w:numPr>
        <w:numId w:val="6"/>
      </w:numPr>
      <w:autoSpaceDE w:val="0"/>
      <w:autoSpaceDN w:val="0"/>
      <w:ind w:left="1650"/>
      <w:jc w:val="both"/>
    </w:pPr>
    <w:rPr>
      <w:rFonts w:ascii="宋体"/>
      <w:sz w:val="18"/>
      <w:szCs w:val="18"/>
    </w:rPr>
  </w:style>
  <w:style w:type="character" w:customStyle="1" w:styleId="Char6">
    <w:name w:val="标题 Char"/>
    <w:basedOn w:val="af6"/>
    <w:link w:val="aff2"/>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1121</Words>
  <Characters>6390</Characters>
  <Application>Microsoft Office Word</Application>
  <DocSecurity>0</DocSecurity>
  <Lines>53</Lines>
  <Paragraphs>14</Paragraphs>
  <ScaleCrop>false</ScaleCrop>
  <Company>微软中国</Company>
  <LinksUpToDate>false</LinksUpToDate>
  <CharactersWithSpaces>7497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2909</cp:revision>
  <cp:lastPrinted>2020-12-20T02:52:00Z</cp:lastPrinted>
  <dcterms:created xsi:type="dcterms:W3CDTF">2019-07-24T03:07:00Z</dcterms:created>
  <dcterms:modified xsi:type="dcterms:W3CDTF">2025-01-15T07:25:00Z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97FF4DC98E1E40168BF4AC314740179B_13</vt:lpwstr>
  </property>
</Properties>
</file>